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B1B" w14:textId="77777777" w:rsidR="00AB51C8" w:rsidRDefault="00AB51C8">
      <w:pPr>
        <w:ind w:firstLineChars="0" w:firstLine="0"/>
        <w:jc w:val="center"/>
        <w:rPr>
          <w:rFonts w:cs="Times New Roman"/>
          <w:sz w:val="44"/>
          <w:szCs w:val="44"/>
        </w:rPr>
      </w:pPr>
    </w:p>
    <w:p w14:paraId="38C9528D" w14:textId="77777777" w:rsidR="00AB51C8" w:rsidRDefault="00AB51C8">
      <w:pPr>
        <w:ind w:firstLineChars="0" w:firstLine="0"/>
        <w:jc w:val="center"/>
        <w:rPr>
          <w:rFonts w:cs="Times New Roman"/>
          <w:sz w:val="44"/>
          <w:szCs w:val="44"/>
        </w:rPr>
      </w:pPr>
    </w:p>
    <w:p w14:paraId="1E70B99A" w14:textId="77777777" w:rsidR="00AB51C8" w:rsidRDefault="00AB51C8">
      <w:pPr>
        <w:ind w:firstLineChars="0" w:firstLine="0"/>
        <w:jc w:val="center"/>
        <w:rPr>
          <w:rFonts w:cs="Times New Roman"/>
          <w:sz w:val="44"/>
          <w:szCs w:val="44"/>
        </w:rPr>
      </w:pPr>
    </w:p>
    <w:p w14:paraId="658CFC45" w14:textId="77777777" w:rsidR="00AB51C8" w:rsidRDefault="00AB51C8">
      <w:pPr>
        <w:ind w:firstLineChars="0" w:firstLine="0"/>
        <w:jc w:val="center"/>
        <w:rPr>
          <w:rFonts w:cs="Times New Roman"/>
          <w:sz w:val="44"/>
          <w:szCs w:val="44"/>
        </w:rPr>
      </w:pPr>
    </w:p>
    <w:p w14:paraId="6CB6CD2A" w14:textId="77777777" w:rsidR="00AB51C8" w:rsidRDefault="00000000">
      <w:pPr>
        <w:ind w:firstLineChars="0" w:firstLine="0"/>
        <w:jc w:val="center"/>
        <w:rPr>
          <w:rFonts w:cs="Times New Roman"/>
          <w:b/>
          <w:sz w:val="44"/>
          <w:szCs w:val="44"/>
        </w:rPr>
      </w:pPr>
      <w:r>
        <w:rPr>
          <w:rFonts w:cs="Times New Roman" w:hint="eastAsia"/>
          <w:b/>
          <w:sz w:val="44"/>
          <w:szCs w:val="44"/>
        </w:rPr>
        <w:t>中国环境科学研究院</w:t>
      </w:r>
    </w:p>
    <w:p w14:paraId="3BE9A5E4" w14:textId="77777777" w:rsidR="00AB51C8" w:rsidRDefault="00000000">
      <w:pPr>
        <w:ind w:firstLineChars="0" w:firstLine="0"/>
        <w:jc w:val="center"/>
        <w:rPr>
          <w:rFonts w:cs="Times New Roman"/>
          <w:b/>
          <w:sz w:val="44"/>
          <w:szCs w:val="44"/>
        </w:rPr>
      </w:pPr>
      <w:r>
        <w:rPr>
          <w:rFonts w:cs="Times New Roman" w:hint="eastAsia"/>
          <w:b/>
          <w:sz w:val="44"/>
          <w:szCs w:val="44"/>
        </w:rPr>
        <w:t>人口、资源与环境经济学</w:t>
      </w:r>
    </w:p>
    <w:p w14:paraId="0D8DE962" w14:textId="77777777" w:rsidR="00AB51C8" w:rsidRDefault="00000000">
      <w:pPr>
        <w:ind w:firstLineChars="0" w:firstLine="0"/>
        <w:jc w:val="center"/>
        <w:rPr>
          <w:rFonts w:cs="Times New Roman"/>
          <w:b/>
          <w:sz w:val="44"/>
          <w:szCs w:val="44"/>
        </w:rPr>
      </w:pPr>
      <w:r>
        <w:rPr>
          <w:rFonts w:cs="Times New Roman" w:hint="eastAsia"/>
          <w:b/>
          <w:sz w:val="44"/>
          <w:szCs w:val="44"/>
        </w:rPr>
        <w:t>研究生教育质量年度报告</w:t>
      </w:r>
      <w:bookmarkStart w:id="0" w:name="_Toc15889"/>
      <w:r>
        <w:rPr>
          <w:rFonts w:cs="Times New Roman" w:hint="eastAsia"/>
          <w:b/>
          <w:sz w:val="44"/>
          <w:szCs w:val="44"/>
        </w:rPr>
        <w:t>（</w:t>
      </w:r>
      <w:r>
        <w:rPr>
          <w:rFonts w:cs="Times New Roman" w:hint="eastAsia"/>
          <w:b/>
          <w:sz w:val="44"/>
          <w:szCs w:val="44"/>
        </w:rPr>
        <w:t>2020-2021</w:t>
      </w:r>
      <w:r>
        <w:rPr>
          <w:rFonts w:cs="Times New Roman" w:hint="eastAsia"/>
          <w:b/>
          <w:sz w:val="44"/>
          <w:szCs w:val="44"/>
        </w:rPr>
        <w:t>）</w:t>
      </w:r>
      <w:bookmarkEnd w:id="0"/>
    </w:p>
    <w:p w14:paraId="183F0801" w14:textId="77777777" w:rsidR="00AB51C8" w:rsidRDefault="00AB51C8">
      <w:pPr>
        <w:ind w:firstLine="480"/>
      </w:pPr>
    </w:p>
    <w:p w14:paraId="4522D911" w14:textId="77777777" w:rsidR="00AB51C8" w:rsidRDefault="00AB51C8">
      <w:pPr>
        <w:ind w:firstLineChars="0" w:firstLine="0"/>
        <w:jc w:val="center"/>
      </w:pPr>
    </w:p>
    <w:p w14:paraId="64EE3EAF" w14:textId="77777777" w:rsidR="00AB51C8" w:rsidRDefault="00AB51C8">
      <w:pPr>
        <w:ind w:firstLineChars="0" w:firstLine="0"/>
        <w:jc w:val="center"/>
      </w:pPr>
    </w:p>
    <w:p w14:paraId="22E7B3CA" w14:textId="77777777" w:rsidR="00AB51C8" w:rsidRDefault="00AB51C8">
      <w:pPr>
        <w:ind w:firstLineChars="0" w:firstLine="0"/>
        <w:jc w:val="center"/>
      </w:pPr>
    </w:p>
    <w:p w14:paraId="2DE91BA9" w14:textId="77777777" w:rsidR="00AB51C8" w:rsidRDefault="00AB51C8">
      <w:pPr>
        <w:ind w:firstLineChars="0" w:firstLine="0"/>
        <w:jc w:val="center"/>
      </w:pPr>
    </w:p>
    <w:p w14:paraId="62D6DC9D" w14:textId="77777777" w:rsidR="00AB51C8" w:rsidRDefault="00AB51C8">
      <w:pPr>
        <w:ind w:firstLineChars="0" w:firstLine="0"/>
        <w:jc w:val="center"/>
      </w:pPr>
    </w:p>
    <w:p w14:paraId="67DA520B" w14:textId="77777777" w:rsidR="00AB51C8" w:rsidRDefault="00AB51C8">
      <w:pPr>
        <w:ind w:firstLineChars="0" w:firstLine="0"/>
        <w:jc w:val="center"/>
      </w:pPr>
    </w:p>
    <w:p w14:paraId="3D8A5620" w14:textId="77777777" w:rsidR="00AB51C8" w:rsidRDefault="00AB51C8">
      <w:pPr>
        <w:ind w:firstLineChars="0" w:firstLine="0"/>
        <w:jc w:val="center"/>
      </w:pPr>
    </w:p>
    <w:p w14:paraId="7F16D333" w14:textId="77777777" w:rsidR="00AB51C8" w:rsidRDefault="00AB51C8">
      <w:pPr>
        <w:ind w:firstLineChars="0" w:firstLine="0"/>
        <w:jc w:val="center"/>
      </w:pPr>
    </w:p>
    <w:p w14:paraId="29B159F8" w14:textId="77777777" w:rsidR="00AB51C8" w:rsidRDefault="00AB51C8">
      <w:pPr>
        <w:ind w:firstLineChars="0" w:firstLine="0"/>
        <w:jc w:val="center"/>
      </w:pPr>
    </w:p>
    <w:p w14:paraId="13D53E1D" w14:textId="77777777" w:rsidR="00AB51C8" w:rsidRDefault="00AB51C8">
      <w:pPr>
        <w:ind w:firstLineChars="0" w:firstLine="0"/>
        <w:jc w:val="center"/>
      </w:pPr>
    </w:p>
    <w:p w14:paraId="76BC88CB" w14:textId="77777777" w:rsidR="00AB51C8" w:rsidRDefault="00AB51C8">
      <w:pPr>
        <w:ind w:firstLineChars="0" w:firstLine="0"/>
        <w:jc w:val="center"/>
      </w:pPr>
    </w:p>
    <w:tbl>
      <w:tblPr>
        <w:tblW w:w="6379" w:type="dxa"/>
        <w:tblInd w:w="846" w:type="dxa"/>
        <w:tblLayout w:type="fixed"/>
        <w:tblLook w:val="04A0" w:firstRow="1" w:lastRow="0" w:firstColumn="1" w:lastColumn="0" w:noHBand="0" w:noVBand="1"/>
      </w:tblPr>
      <w:tblGrid>
        <w:gridCol w:w="1843"/>
        <w:gridCol w:w="4536"/>
      </w:tblGrid>
      <w:tr w:rsidR="00AB51C8" w14:paraId="60BFC496" w14:textId="77777777">
        <w:trPr>
          <w:trHeight w:val="510"/>
        </w:trPr>
        <w:tc>
          <w:tcPr>
            <w:tcW w:w="1843" w:type="dxa"/>
            <w:vMerge w:val="restart"/>
            <w:tcBorders>
              <w:right w:val="single" w:sz="4" w:space="0" w:color="auto"/>
            </w:tcBorders>
            <w:vAlign w:val="center"/>
          </w:tcPr>
          <w:p w14:paraId="39D8BEAB" w14:textId="77777777" w:rsidR="00AB51C8" w:rsidRDefault="00000000">
            <w:pPr>
              <w:ind w:firstLineChars="0" w:firstLine="0"/>
              <w:rPr>
                <w:rFonts w:cs="宋体"/>
                <w:b/>
                <w:bCs/>
                <w:sz w:val="28"/>
                <w:szCs w:val="30"/>
              </w:rPr>
            </w:pPr>
            <w:r>
              <w:rPr>
                <w:rFonts w:cs="宋体" w:hint="eastAsia"/>
                <w:b/>
                <w:bCs/>
                <w:sz w:val="28"/>
                <w:szCs w:val="30"/>
              </w:rPr>
              <w:t>中国环境科学研究院</w:t>
            </w:r>
          </w:p>
        </w:tc>
        <w:tc>
          <w:tcPr>
            <w:tcW w:w="4536" w:type="dxa"/>
            <w:tcBorders>
              <w:left w:val="single" w:sz="4" w:space="0" w:color="auto"/>
              <w:bottom w:val="single" w:sz="4" w:space="0" w:color="auto"/>
            </w:tcBorders>
            <w:vAlign w:val="center"/>
          </w:tcPr>
          <w:p w14:paraId="4B1787C1" w14:textId="77777777" w:rsidR="00AB51C8" w:rsidRDefault="00000000">
            <w:pPr>
              <w:ind w:firstLine="562"/>
              <w:rPr>
                <w:rFonts w:cs="宋体"/>
                <w:b/>
                <w:bCs/>
                <w:sz w:val="28"/>
                <w:szCs w:val="30"/>
              </w:rPr>
            </w:pPr>
            <w:r>
              <w:rPr>
                <w:rFonts w:cs="宋体" w:hint="eastAsia"/>
                <w:b/>
                <w:bCs/>
                <w:sz w:val="28"/>
                <w:szCs w:val="30"/>
              </w:rPr>
              <w:t>名称：人口、资源与环境经济学</w:t>
            </w:r>
          </w:p>
        </w:tc>
      </w:tr>
      <w:tr w:rsidR="00AB51C8" w14:paraId="1E173EE9" w14:textId="77777777">
        <w:trPr>
          <w:trHeight w:val="510"/>
        </w:trPr>
        <w:tc>
          <w:tcPr>
            <w:tcW w:w="1843" w:type="dxa"/>
            <w:vMerge/>
            <w:tcBorders>
              <w:right w:val="single" w:sz="4" w:space="0" w:color="auto"/>
            </w:tcBorders>
            <w:vAlign w:val="center"/>
          </w:tcPr>
          <w:p w14:paraId="37E5A7A7" w14:textId="77777777" w:rsidR="00AB51C8" w:rsidRDefault="00AB51C8">
            <w:pPr>
              <w:ind w:firstLine="562"/>
              <w:jc w:val="center"/>
              <w:rPr>
                <w:rFonts w:cs="宋体"/>
                <w:b/>
                <w:bCs/>
                <w:sz w:val="28"/>
                <w:szCs w:val="30"/>
              </w:rPr>
            </w:pPr>
          </w:p>
        </w:tc>
        <w:tc>
          <w:tcPr>
            <w:tcW w:w="4536" w:type="dxa"/>
            <w:tcBorders>
              <w:top w:val="single" w:sz="4" w:space="0" w:color="auto"/>
              <w:left w:val="single" w:sz="4" w:space="0" w:color="auto"/>
            </w:tcBorders>
            <w:vAlign w:val="center"/>
          </w:tcPr>
          <w:p w14:paraId="005D807F" w14:textId="77777777" w:rsidR="00AB51C8" w:rsidRDefault="00000000">
            <w:pPr>
              <w:ind w:firstLine="562"/>
              <w:rPr>
                <w:rFonts w:cs="宋体"/>
                <w:b/>
                <w:bCs/>
                <w:sz w:val="28"/>
                <w:szCs w:val="30"/>
              </w:rPr>
            </w:pPr>
            <w:r>
              <w:rPr>
                <w:rFonts w:cs="宋体" w:hint="eastAsia"/>
                <w:b/>
                <w:bCs/>
                <w:sz w:val="28"/>
                <w:szCs w:val="30"/>
              </w:rPr>
              <w:t>代码：</w:t>
            </w:r>
            <w:r>
              <w:rPr>
                <w:rFonts w:cs="宋体" w:hint="eastAsia"/>
                <w:b/>
                <w:bCs/>
                <w:sz w:val="28"/>
                <w:szCs w:val="30"/>
              </w:rPr>
              <w:t>020106</w:t>
            </w:r>
          </w:p>
        </w:tc>
      </w:tr>
    </w:tbl>
    <w:p w14:paraId="7CD54204" w14:textId="77777777" w:rsidR="00AB51C8" w:rsidRDefault="00AB51C8">
      <w:pPr>
        <w:ind w:firstLineChars="0" w:firstLine="0"/>
        <w:jc w:val="center"/>
      </w:pPr>
    </w:p>
    <w:p w14:paraId="1C5285B9" w14:textId="77777777" w:rsidR="00AB51C8" w:rsidRDefault="00AB51C8">
      <w:pPr>
        <w:ind w:firstLineChars="0" w:firstLine="0"/>
        <w:jc w:val="center"/>
        <w:rPr>
          <w:rFonts w:cs="宋体"/>
          <w:b/>
          <w:bCs/>
          <w:szCs w:val="32"/>
        </w:rPr>
      </w:pPr>
    </w:p>
    <w:p w14:paraId="24E0BDD6" w14:textId="77777777" w:rsidR="00AB51C8" w:rsidRDefault="00AB51C8">
      <w:pPr>
        <w:ind w:firstLineChars="0" w:firstLine="0"/>
        <w:jc w:val="center"/>
        <w:rPr>
          <w:rFonts w:cs="宋体"/>
          <w:b/>
          <w:bCs/>
          <w:szCs w:val="32"/>
        </w:rPr>
      </w:pPr>
    </w:p>
    <w:p w14:paraId="5CDF73FC" w14:textId="77777777" w:rsidR="00AB51C8" w:rsidRDefault="00AB51C8">
      <w:pPr>
        <w:ind w:firstLineChars="0" w:firstLine="0"/>
        <w:jc w:val="center"/>
        <w:rPr>
          <w:rFonts w:cs="宋体"/>
          <w:b/>
          <w:bCs/>
          <w:szCs w:val="32"/>
        </w:rPr>
      </w:pPr>
    </w:p>
    <w:p w14:paraId="03718210" w14:textId="77777777" w:rsidR="00AB51C8" w:rsidRDefault="00000000">
      <w:pPr>
        <w:ind w:firstLineChars="0" w:firstLine="0"/>
        <w:jc w:val="center"/>
        <w:rPr>
          <w:sz w:val="32"/>
        </w:rPr>
      </w:pPr>
      <w:bookmarkStart w:id="1" w:name="_Toc1653"/>
      <w:r>
        <w:rPr>
          <w:sz w:val="32"/>
        </w:rPr>
        <w:lastRenderedPageBreak/>
        <w:t>202</w:t>
      </w:r>
      <w:r>
        <w:rPr>
          <w:rFonts w:hint="eastAsia"/>
          <w:sz w:val="32"/>
        </w:rPr>
        <w:t>2</w:t>
      </w:r>
      <w:r>
        <w:rPr>
          <w:sz w:val="32"/>
        </w:rPr>
        <w:t xml:space="preserve"> </w:t>
      </w:r>
      <w:r>
        <w:rPr>
          <w:sz w:val="32"/>
        </w:rPr>
        <w:t>年</w:t>
      </w:r>
      <w:r>
        <w:rPr>
          <w:rFonts w:hint="eastAsia"/>
          <w:sz w:val="32"/>
        </w:rPr>
        <w:t>3</w:t>
      </w:r>
      <w:r>
        <w:rPr>
          <w:sz w:val="32"/>
        </w:rPr>
        <w:t>月</w:t>
      </w:r>
      <w:r>
        <w:rPr>
          <w:rFonts w:hint="eastAsia"/>
          <w:sz w:val="32"/>
        </w:rPr>
        <w:t>10</w:t>
      </w:r>
      <w:r>
        <w:rPr>
          <w:sz w:val="32"/>
        </w:rPr>
        <w:t>日</w:t>
      </w:r>
      <w:bookmarkEnd w:id="1"/>
      <w:r>
        <w:rPr>
          <w:sz w:val="32"/>
        </w:rPr>
        <w:br w:type="page"/>
      </w:r>
    </w:p>
    <w:p w14:paraId="3497486D" w14:textId="77777777" w:rsidR="00AB51C8" w:rsidRDefault="00000000">
      <w:pPr>
        <w:ind w:firstLineChars="0" w:firstLine="0"/>
        <w:jc w:val="center"/>
        <w:outlineLvl w:val="0"/>
        <w:rPr>
          <w:rFonts w:cs="Times New Roman"/>
          <w:b/>
          <w:bCs/>
          <w:sz w:val="32"/>
          <w:szCs w:val="32"/>
        </w:rPr>
      </w:pPr>
      <w:r>
        <w:rPr>
          <w:rFonts w:cs="Times New Roman" w:hint="eastAsia"/>
          <w:b/>
          <w:bCs/>
          <w:sz w:val="32"/>
          <w:szCs w:val="32"/>
        </w:rPr>
        <w:lastRenderedPageBreak/>
        <w:t>目</w:t>
      </w:r>
      <w:r>
        <w:rPr>
          <w:rFonts w:cs="Times New Roman" w:hint="eastAsia"/>
          <w:b/>
          <w:bCs/>
          <w:sz w:val="32"/>
          <w:szCs w:val="32"/>
        </w:rPr>
        <w:t xml:space="preserve"> </w:t>
      </w:r>
      <w:r>
        <w:rPr>
          <w:rFonts w:cs="Times New Roman"/>
          <w:b/>
          <w:bCs/>
          <w:sz w:val="32"/>
          <w:szCs w:val="32"/>
        </w:rPr>
        <w:t xml:space="preserve"> </w:t>
      </w:r>
      <w:r>
        <w:rPr>
          <w:rFonts w:cs="Times New Roman" w:hint="eastAsia"/>
          <w:b/>
          <w:bCs/>
          <w:sz w:val="32"/>
          <w:szCs w:val="32"/>
        </w:rPr>
        <w:t xml:space="preserve"> </w:t>
      </w:r>
      <w:r>
        <w:rPr>
          <w:rFonts w:cs="Times New Roman" w:hint="eastAsia"/>
          <w:b/>
          <w:bCs/>
          <w:sz w:val="32"/>
          <w:szCs w:val="32"/>
        </w:rPr>
        <w:t>录</w:t>
      </w:r>
    </w:p>
    <w:p w14:paraId="2AC2424F" w14:textId="77777777" w:rsidR="00AB51C8" w:rsidRDefault="00000000">
      <w:pPr>
        <w:pStyle w:val="TOC1"/>
        <w:spacing w:line="480" w:lineRule="exact"/>
        <w:rPr>
          <w:rFonts w:ascii="等线" w:eastAsia="等线" w:hAnsi="等线" w:cs="黑体"/>
          <w:sz w:val="28"/>
          <w:szCs w:val="28"/>
        </w:rPr>
      </w:pPr>
      <w:r>
        <w:fldChar w:fldCharType="begin"/>
      </w:r>
      <w:r>
        <w:instrText xml:space="preserve"> TOC \h \z \t "</w:instrText>
      </w:r>
      <w:r>
        <w:instrText>标题</w:instrText>
      </w:r>
      <w:r>
        <w:instrText xml:space="preserve"> 1,1,</w:instrText>
      </w:r>
      <w:r>
        <w:instrText>标题</w:instrText>
      </w:r>
      <w:r>
        <w:instrText xml:space="preserve">2,2" </w:instrText>
      </w:r>
      <w:r>
        <w:fldChar w:fldCharType="separate"/>
      </w:r>
      <w:hyperlink w:anchor="_Toc101773629" w:history="1">
        <w:r>
          <w:rPr>
            <w:rStyle w:val="af4"/>
            <w:rFonts w:ascii="黑体" w:hAnsi="黑体"/>
            <w:sz w:val="28"/>
            <w:szCs w:val="28"/>
          </w:rPr>
          <w:t>一、总体概况</w:t>
        </w:r>
        <w:r>
          <w:rPr>
            <w:sz w:val="28"/>
            <w:szCs w:val="28"/>
          </w:rPr>
          <w:tab/>
        </w:r>
        <w:r>
          <w:rPr>
            <w:sz w:val="28"/>
            <w:szCs w:val="28"/>
          </w:rPr>
          <w:fldChar w:fldCharType="begin"/>
        </w:r>
        <w:r>
          <w:rPr>
            <w:sz w:val="28"/>
            <w:szCs w:val="28"/>
          </w:rPr>
          <w:instrText xml:space="preserve"> PAGEREF _Toc101773629 \h </w:instrText>
        </w:r>
        <w:r>
          <w:rPr>
            <w:sz w:val="28"/>
            <w:szCs w:val="28"/>
          </w:rPr>
        </w:r>
        <w:r>
          <w:rPr>
            <w:sz w:val="28"/>
            <w:szCs w:val="28"/>
          </w:rPr>
          <w:fldChar w:fldCharType="separate"/>
        </w:r>
        <w:r>
          <w:rPr>
            <w:sz w:val="28"/>
            <w:szCs w:val="28"/>
          </w:rPr>
          <w:t>1</w:t>
        </w:r>
        <w:r>
          <w:rPr>
            <w:sz w:val="28"/>
            <w:szCs w:val="28"/>
          </w:rPr>
          <w:fldChar w:fldCharType="end"/>
        </w:r>
      </w:hyperlink>
    </w:p>
    <w:p w14:paraId="797699D3" w14:textId="77777777" w:rsidR="00AB51C8" w:rsidRDefault="00000000">
      <w:pPr>
        <w:pStyle w:val="TOC2"/>
        <w:spacing w:line="480" w:lineRule="exact"/>
        <w:ind w:leftChars="0" w:left="0" w:firstLine="480"/>
        <w:rPr>
          <w:rFonts w:eastAsia="楷体_GB2312" w:cs="Times New Roman"/>
          <w:bCs/>
          <w:sz w:val="28"/>
          <w:szCs w:val="28"/>
        </w:rPr>
      </w:pPr>
      <w:hyperlink w:anchor="_Toc101773630" w:history="1">
        <w:r>
          <w:rPr>
            <w:rStyle w:val="af4"/>
            <w:rFonts w:eastAsia="楷体_GB2312" w:cs="Times New Roman"/>
            <w:bCs/>
            <w:sz w:val="28"/>
            <w:szCs w:val="28"/>
          </w:rPr>
          <w:t>（一）学位授权点基本情况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_Toc101773630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w:t>
        </w:r>
        <w:r>
          <w:rPr>
            <w:rFonts w:eastAsia="楷体_GB2312" w:cs="Times New Roman"/>
            <w:bCs/>
            <w:sz w:val="28"/>
            <w:szCs w:val="28"/>
          </w:rPr>
          <w:fldChar w:fldCharType="end"/>
        </w:r>
      </w:hyperlink>
    </w:p>
    <w:p w14:paraId="55F83EA5" w14:textId="77777777" w:rsidR="00AB51C8" w:rsidRDefault="00000000">
      <w:pPr>
        <w:pStyle w:val="TOC2"/>
        <w:spacing w:line="480" w:lineRule="exact"/>
        <w:ind w:leftChars="0" w:left="0" w:firstLine="480"/>
        <w:rPr>
          <w:rFonts w:eastAsia="楷体_GB2312" w:cs="Times New Roman"/>
          <w:bCs/>
          <w:sz w:val="28"/>
          <w:szCs w:val="28"/>
        </w:rPr>
      </w:pPr>
      <w:hyperlink w:anchor="_Toc101773631" w:history="1">
        <w:r>
          <w:rPr>
            <w:rStyle w:val="af4"/>
            <w:rFonts w:eastAsia="楷体_GB2312" w:cs="Times New Roman"/>
            <w:bCs/>
            <w:sz w:val="28"/>
            <w:szCs w:val="28"/>
          </w:rPr>
          <w:t>（二）研究生招生及在读情况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_Toc101773631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3</w:t>
        </w:r>
        <w:r>
          <w:rPr>
            <w:rFonts w:eastAsia="楷体_GB2312" w:cs="Times New Roman"/>
            <w:bCs/>
            <w:sz w:val="28"/>
            <w:szCs w:val="28"/>
          </w:rPr>
          <w:fldChar w:fldCharType="end"/>
        </w:r>
      </w:hyperlink>
    </w:p>
    <w:p w14:paraId="2F8817AF" w14:textId="77777777" w:rsidR="00AB51C8" w:rsidRDefault="00000000">
      <w:pPr>
        <w:pStyle w:val="TOC2"/>
        <w:spacing w:line="480" w:lineRule="exact"/>
        <w:ind w:leftChars="0" w:left="0" w:firstLine="480"/>
        <w:rPr>
          <w:rFonts w:eastAsia="楷体_GB2312" w:cs="Times New Roman"/>
          <w:bCs/>
          <w:sz w:val="28"/>
          <w:szCs w:val="28"/>
        </w:rPr>
      </w:pPr>
      <w:hyperlink w:anchor="_Toc101773632" w:history="1">
        <w:r>
          <w:rPr>
            <w:rStyle w:val="af4"/>
            <w:rFonts w:eastAsia="楷体_GB2312" w:cs="Times New Roman"/>
            <w:bCs/>
            <w:sz w:val="28"/>
            <w:szCs w:val="28"/>
          </w:rPr>
          <w:t>（三）研究生毕业及就业状况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_Toc101773632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4</w:t>
        </w:r>
        <w:r>
          <w:rPr>
            <w:rFonts w:eastAsia="楷体_GB2312" w:cs="Times New Roman"/>
            <w:bCs/>
            <w:sz w:val="28"/>
            <w:szCs w:val="28"/>
          </w:rPr>
          <w:fldChar w:fldCharType="end"/>
        </w:r>
      </w:hyperlink>
    </w:p>
    <w:p w14:paraId="130162F4" w14:textId="77777777" w:rsidR="00AB51C8" w:rsidRDefault="00000000">
      <w:pPr>
        <w:pStyle w:val="TOC2"/>
        <w:spacing w:line="480" w:lineRule="exact"/>
        <w:ind w:leftChars="0" w:left="0" w:firstLine="480"/>
        <w:rPr>
          <w:rFonts w:eastAsia="楷体_GB2312" w:cs="Times New Roman"/>
          <w:bCs/>
          <w:sz w:val="28"/>
          <w:szCs w:val="28"/>
        </w:rPr>
      </w:pPr>
      <w:hyperlink w:anchor="_Toc101773633" w:history="1">
        <w:r>
          <w:rPr>
            <w:rStyle w:val="af4"/>
            <w:rFonts w:eastAsia="楷体_GB2312" w:cs="Times New Roman"/>
            <w:bCs/>
            <w:sz w:val="28"/>
            <w:szCs w:val="28"/>
          </w:rPr>
          <w:t>（四）研究生导师状况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_Toc101773633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4</w:t>
        </w:r>
        <w:r>
          <w:rPr>
            <w:rFonts w:eastAsia="楷体_GB2312" w:cs="Times New Roman"/>
            <w:bCs/>
            <w:sz w:val="28"/>
            <w:szCs w:val="28"/>
          </w:rPr>
          <w:fldChar w:fldCharType="end"/>
        </w:r>
      </w:hyperlink>
    </w:p>
    <w:p w14:paraId="373DDDF8" w14:textId="77777777" w:rsidR="00AB51C8" w:rsidRDefault="00000000">
      <w:pPr>
        <w:pStyle w:val="TOC1"/>
        <w:spacing w:line="480" w:lineRule="exact"/>
        <w:rPr>
          <w:sz w:val="28"/>
          <w:szCs w:val="28"/>
        </w:rPr>
      </w:pPr>
      <w:hyperlink w:anchor="_Toc101773634" w:history="1">
        <w:r>
          <w:rPr>
            <w:rStyle w:val="af4"/>
            <w:sz w:val="28"/>
            <w:szCs w:val="28"/>
          </w:rPr>
          <w:t>二、研究生党建与思想政治教育工作</w:t>
        </w:r>
        <w:r>
          <w:rPr>
            <w:sz w:val="28"/>
            <w:szCs w:val="28"/>
          </w:rPr>
          <w:tab/>
        </w:r>
        <w:r>
          <w:rPr>
            <w:sz w:val="28"/>
            <w:szCs w:val="28"/>
          </w:rPr>
          <w:fldChar w:fldCharType="begin"/>
        </w:r>
        <w:r>
          <w:rPr>
            <w:sz w:val="28"/>
            <w:szCs w:val="28"/>
          </w:rPr>
          <w:instrText xml:space="preserve"> PAGEREF _Toc101773634 \h </w:instrText>
        </w:r>
        <w:r>
          <w:rPr>
            <w:sz w:val="28"/>
            <w:szCs w:val="28"/>
          </w:rPr>
        </w:r>
        <w:r>
          <w:rPr>
            <w:sz w:val="28"/>
            <w:szCs w:val="28"/>
          </w:rPr>
          <w:fldChar w:fldCharType="separate"/>
        </w:r>
        <w:r>
          <w:rPr>
            <w:sz w:val="28"/>
            <w:szCs w:val="28"/>
          </w:rPr>
          <w:t>12</w:t>
        </w:r>
        <w:r>
          <w:rPr>
            <w:sz w:val="28"/>
            <w:szCs w:val="28"/>
          </w:rPr>
          <w:fldChar w:fldCharType="end"/>
        </w:r>
      </w:hyperlink>
    </w:p>
    <w:p w14:paraId="5B7936D4" w14:textId="77777777" w:rsidR="00AB51C8" w:rsidRDefault="00000000">
      <w:pPr>
        <w:pStyle w:val="TOC2"/>
        <w:spacing w:line="480" w:lineRule="exact"/>
        <w:ind w:leftChars="0" w:left="0" w:firstLine="480"/>
        <w:rPr>
          <w:rFonts w:eastAsia="楷体_GB2312" w:cs="Times New Roman"/>
          <w:bCs/>
          <w:sz w:val="28"/>
          <w:szCs w:val="28"/>
        </w:rPr>
      </w:pPr>
      <w:hyperlink w:anchor="_Toc101773635" w:history="1">
        <w:r>
          <w:rPr>
            <w:rStyle w:val="af4"/>
            <w:rFonts w:eastAsia="楷体_GB2312" w:cs="Times New Roman"/>
            <w:bCs/>
            <w:sz w:val="28"/>
            <w:szCs w:val="28"/>
          </w:rPr>
          <w:t>（一）思想政治教育队伍建设</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_Toc101773635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12</w:t>
        </w:r>
        <w:r>
          <w:rPr>
            <w:rFonts w:eastAsia="楷体_GB2312" w:cs="Times New Roman"/>
            <w:bCs/>
            <w:sz w:val="28"/>
            <w:szCs w:val="28"/>
          </w:rPr>
          <w:fldChar w:fldCharType="end"/>
        </w:r>
      </w:hyperlink>
    </w:p>
    <w:p w14:paraId="543944A5" w14:textId="77777777" w:rsidR="00AB51C8" w:rsidRDefault="00000000">
      <w:pPr>
        <w:pStyle w:val="TOC2"/>
        <w:spacing w:line="480" w:lineRule="exact"/>
        <w:ind w:leftChars="0" w:left="0" w:firstLine="480"/>
        <w:rPr>
          <w:rFonts w:eastAsia="楷体_GB2312" w:cs="Times New Roman"/>
          <w:bCs/>
          <w:sz w:val="28"/>
          <w:szCs w:val="28"/>
        </w:rPr>
      </w:pPr>
      <w:hyperlink w:anchor="_Toc101773636" w:history="1">
        <w:r>
          <w:rPr>
            <w:rStyle w:val="af4"/>
            <w:rFonts w:eastAsia="楷体_GB2312" w:cs="Times New Roman"/>
            <w:bCs/>
            <w:sz w:val="28"/>
            <w:szCs w:val="28"/>
          </w:rPr>
          <w:t>（二）理想信念和社会主义核心价值观教育</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_Toc101773636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14</w:t>
        </w:r>
        <w:r>
          <w:rPr>
            <w:rFonts w:eastAsia="楷体_GB2312" w:cs="Times New Roman"/>
            <w:bCs/>
            <w:sz w:val="28"/>
            <w:szCs w:val="28"/>
          </w:rPr>
          <w:fldChar w:fldCharType="end"/>
        </w:r>
      </w:hyperlink>
    </w:p>
    <w:p w14:paraId="340B61C8" w14:textId="77777777" w:rsidR="00AB51C8" w:rsidRDefault="00000000">
      <w:pPr>
        <w:pStyle w:val="TOC2"/>
        <w:spacing w:line="480" w:lineRule="exact"/>
        <w:ind w:leftChars="0" w:left="0" w:firstLine="480"/>
        <w:rPr>
          <w:rFonts w:eastAsia="楷体_GB2312" w:cs="Times New Roman"/>
          <w:bCs/>
          <w:sz w:val="28"/>
          <w:szCs w:val="28"/>
        </w:rPr>
      </w:pPr>
      <w:hyperlink w:anchor="_Toc101773637" w:history="1">
        <w:r>
          <w:rPr>
            <w:rStyle w:val="af4"/>
            <w:rFonts w:eastAsia="楷体_GB2312" w:cs="Times New Roman"/>
            <w:bCs/>
            <w:sz w:val="28"/>
            <w:szCs w:val="28"/>
          </w:rPr>
          <w:t>（三）院所文化建设</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_Toc101773637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15</w:t>
        </w:r>
        <w:r>
          <w:rPr>
            <w:rFonts w:eastAsia="楷体_GB2312" w:cs="Times New Roman"/>
            <w:bCs/>
            <w:sz w:val="28"/>
            <w:szCs w:val="28"/>
          </w:rPr>
          <w:fldChar w:fldCharType="end"/>
        </w:r>
      </w:hyperlink>
    </w:p>
    <w:p w14:paraId="33B30874" w14:textId="77777777" w:rsidR="00AB51C8" w:rsidRDefault="00000000">
      <w:pPr>
        <w:pStyle w:val="TOC2"/>
        <w:spacing w:line="480" w:lineRule="exact"/>
        <w:ind w:leftChars="0" w:left="0" w:firstLine="480"/>
        <w:rPr>
          <w:rFonts w:eastAsia="楷体_GB2312" w:cs="Times New Roman"/>
          <w:bCs/>
          <w:sz w:val="28"/>
          <w:szCs w:val="28"/>
        </w:rPr>
      </w:pPr>
      <w:hyperlink w:anchor="_Toc101773638" w:history="1">
        <w:r>
          <w:rPr>
            <w:rStyle w:val="af4"/>
            <w:rFonts w:eastAsia="楷体_GB2312" w:cs="Times New Roman"/>
            <w:bCs/>
            <w:sz w:val="28"/>
            <w:szCs w:val="28"/>
          </w:rPr>
          <w:t>（四）日常管理服务工作</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_Toc101773638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16</w:t>
        </w:r>
        <w:r>
          <w:rPr>
            <w:rFonts w:eastAsia="楷体_GB2312" w:cs="Times New Roman"/>
            <w:bCs/>
            <w:sz w:val="28"/>
            <w:szCs w:val="28"/>
          </w:rPr>
          <w:fldChar w:fldCharType="end"/>
        </w:r>
      </w:hyperlink>
    </w:p>
    <w:p w14:paraId="765818F6" w14:textId="77777777" w:rsidR="00AB51C8" w:rsidRDefault="00000000">
      <w:pPr>
        <w:pStyle w:val="TOC1"/>
        <w:spacing w:line="480" w:lineRule="exact"/>
        <w:rPr>
          <w:rFonts w:ascii="等线" w:eastAsia="等线" w:hAnsi="等线" w:cs="黑体"/>
          <w:sz w:val="28"/>
          <w:szCs w:val="28"/>
        </w:rPr>
      </w:pPr>
      <w:hyperlink w:anchor="_Toc101773639" w:history="1">
        <w:r>
          <w:rPr>
            <w:rStyle w:val="af4"/>
            <w:sz w:val="28"/>
            <w:szCs w:val="28"/>
          </w:rPr>
          <w:t>三、研究生培养相关制度及执行情况</w:t>
        </w:r>
        <w:r>
          <w:rPr>
            <w:sz w:val="28"/>
            <w:szCs w:val="28"/>
          </w:rPr>
          <w:tab/>
        </w:r>
        <w:r>
          <w:rPr>
            <w:sz w:val="28"/>
            <w:szCs w:val="28"/>
          </w:rPr>
          <w:fldChar w:fldCharType="begin"/>
        </w:r>
        <w:r>
          <w:rPr>
            <w:sz w:val="28"/>
            <w:szCs w:val="28"/>
          </w:rPr>
          <w:instrText xml:space="preserve"> PAGEREF _Toc101773639 \h </w:instrText>
        </w:r>
        <w:r>
          <w:rPr>
            <w:sz w:val="28"/>
            <w:szCs w:val="28"/>
          </w:rPr>
        </w:r>
        <w:r>
          <w:rPr>
            <w:sz w:val="28"/>
            <w:szCs w:val="28"/>
          </w:rPr>
          <w:fldChar w:fldCharType="separate"/>
        </w:r>
        <w:r>
          <w:rPr>
            <w:sz w:val="28"/>
            <w:szCs w:val="28"/>
          </w:rPr>
          <w:t>16</w:t>
        </w:r>
        <w:r>
          <w:rPr>
            <w:sz w:val="28"/>
            <w:szCs w:val="28"/>
          </w:rPr>
          <w:fldChar w:fldCharType="end"/>
        </w:r>
      </w:hyperlink>
    </w:p>
    <w:p w14:paraId="2CC298DE" w14:textId="77777777" w:rsidR="00AB51C8" w:rsidRDefault="00000000">
      <w:pPr>
        <w:pStyle w:val="TOC2"/>
        <w:spacing w:line="480" w:lineRule="exact"/>
        <w:ind w:leftChars="0" w:left="0" w:firstLine="480"/>
        <w:rPr>
          <w:rFonts w:eastAsia="楷体_GB2312" w:cs="Times New Roman"/>
          <w:bCs/>
          <w:sz w:val="28"/>
          <w:szCs w:val="28"/>
        </w:rPr>
      </w:pPr>
      <w:hyperlink w:anchor="_Toc101773640" w:history="1">
        <w:r>
          <w:rPr>
            <w:rStyle w:val="af4"/>
            <w:rFonts w:eastAsia="楷体_GB2312" w:cs="Times New Roman"/>
            <w:bCs/>
            <w:sz w:val="28"/>
            <w:szCs w:val="28"/>
          </w:rPr>
          <w:t>（一）课程建设与实施情况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_Toc101773640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16</w:t>
        </w:r>
        <w:r>
          <w:rPr>
            <w:rFonts w:eastAsia="楷体_GB2312" w:cs="Times New Roman"/>
            <w:bCs/>
            <w:sz w:val="28"/>
            <w:szCs w:val="28"/>
          </w:rPr>
          <w:fldChar w:fldCharType="end"/>
        </w:r>
      </w:hyperlink>
    </w:p>
    <w:p w14:paraId="406F4E19" w14:textId="77777777" w:rsidR="00AB51C8" w:rsidRDefault="00000000">
      <w:pPr>
        <w:pStyle w:val="TOC2"/>
        <w:spacing w:line="480" w:lineRule="exact"/>
        <w:ind w:leftChars="0" w:left="0" w:firstLine="480"/>
        <w:rPr>
          <w:rFonts w:eastAsia="楷体_GB2312" w:cs="Times New Roman"/>
          <w:bCs/>
          <w:sz w:val="28"/>
          <w:szCs w:val="28"/>
        </w:rPr>
      </w:pPr>
      <w:hyperlink w:anchor="_Toc101773641" w:history="1">
        <w:r>
          <w:rPr>
            <w:rStyle w:val="af4"/>
            <w:rFonts w:eastAsia="楷体_GB2312" w:cs="Times New Roman"/>
            <w:bCs/>
            <w:sz w:val="28"/>
            <w:szCs w:val="28"/>
          </w:rPr>
          <w:t>（二）导师选拔培训</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_Toc101773641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23</w:t>
        </w:r>
        <w:r>
          <w:rPr>
            <w:rFonts w:eastAsia="楷体_GB2312" w:cs="Times New Roman"/>
            <w:bCs/>
            <w:sz w:val="28"/>
            <w:szCs w:val="28"/>
          </w:rPr>
          <w:fldChar w:fldCharType="end"/>
        </w:r>
      </w:hyperlink>
    </w:p>
    <w:p w14:paraId="0913D992" w14:textId="77777777" w:rsidR="00AB51C8" w:rsidRDefault="00000000">
      <w:pPr>
        <w:pStyle w:val="TOC2"/>
        <w:spacing w:line="480" w:lineRule="exact"/>
        <w:ind w:leftChars="0" w:left="0" w:firstLine="480"/>
        <w:rPr>
          <w:rFonts w:eastAsia="楷体_GB2312" w:cs="Times New Roman"/>
          <w:bCs/>
          <w:sz w:val="28"/>
          <w:szCs w:val="28"/>
        </w:rPr>
      </w:pPr>
      <w:hyperlink w:anchor="_Toc101773642" w:history="1">
        <w:r>
          <w:rPr>
            <w:rStyle w:val="af4"/>
            <w:rFonts w:eastAsia="楷体_GB2312" w:cs="Times New Roman"/>
            <w:bCs/>
            <w:sz w:val="28"/>
            <w:szCs w:val="28"/>
          </w:rPr>
          <w:t>（三）师德师风建设情况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_Toc101773642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24</w:t>
        </w:r>
        <w:r>
          <w:rPr>
            <w:rFonts w:eastAsia="楷体_GB2312" w:cs="Times New Roman"/>
            <w:bCs/>
            <w:sz w:val="28"/>
            <w:szCs w:val="28"/>
          </w:rPr>
          <w:fldChar w:fldCharType="end"/>
        </w:r>
      </w:hyperlink>
    </w:p>
    <w:p w14:paraId="598E6A43" w14:textId="77777777" w:rsidR="00AB51C8" w:rsidRDefault="00000000">
      <w:pPr>
        <w:pStyle w:val="TOC2"/>
        <w:spacing w:line="480" w:lineRule="exact"/>
        <w:ind w:leftChars="0" w:left="0" w:firstLine="480"/>
        <w:rPr>
          <w:rFonts w:eastAsia="楷体_GB2312" w:cs="Times New Roman"/>
          <w:bCs/>
          <w:sz w:val="28"/>
          <w:szCs w:val="28"/>
        </w:rPr>
      </w:pPr>
      <w:hyperlink w:anchor="_Toc101773643" w:history="1">
        <w:r>
          <w:rPr>
            <w:rStyle w:val="af4"/>
            <w:rFonts w:eastAsia="楷体_GB2312" w:cs="Times New Roman"/>
            <w:bCs/>
            <w:sz w:val="28"/>
            <w:szCs w:val="28"/>
          </w:rPr>
          <w:t>（四）学术交流情况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_Toc101773643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26</w:t>
        </w:r>
        <w:r>
          <w:rPr>
            <w:rFonts w:eastAsia="楷体_GB2312" w:cs="Times New Roman"/>
            <w:bCs/>
            <w:sz w:val="28"/>
            <w:szCs w:val="28"/>
          </w:rPr>
          <w:fldChar w:fldCharType="end"/>
        </w:r>
      </w:hyperlink>
    </w:p>
    <w:p w14:paraId="478F7D55" w14:textId="77777777" w:rsidR="00AB51C8" w:rsidRDefault="00000000">
      <w:pPr>
        <w:pStyle w:val="TOC2"/>
        <w:spacing w:line="480" w:lineRule="exact"/>
        <w:ind w:leftChars="0" w:left="0" w:firstLine="480"/>
        <w:rPr>
          <w:rFonts w:eastAsia="楷体_GB2312" w:cs="Times New Roman"/>
          <w:bCs/>
          <w:sz w:val="28"/>
          <w:szCs w:val="28"/>
        </w:rPr>
      </w:pPr>
      <w:hyperlink w:anchor="_Toc101773644" w:history="1">
        <w:r>
          <w:rPr>
            <w:rStyle w:val="af4"/>
            <w:rFonts w:eastAsia="楷体_GB2312" w:cs="Times New Roman"/>
            <w:bCs/>
            <w:sz w:val="28"/>
            <w:szCs w:val="28"/>
          </w:rPr>
          <w:t>（五）研究生奖助情况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_Toc101773644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26</w:t>
        </w:r>
        <w:r>
          <w:rPr>
            <w:rFonts w:eastAsia="楷体_GB2312" w:cs="Times New Roman"/>
            <w:bCs/>
            <w:sz w:val="28"/>
            <w:szCs w:val="28"/>
          </w:rPr>
          <w:fldChar w:fldCharType="end"/>
        </w:r>
      </w:hyperlink>
    </w:p>
    <w:p w14:paraId="66C7FC6B" w14:textId="77777777" w:rsidR="00AB51C8" w:rsidRDefault="00000000">
      <w:pPr>
        <w:pStyle w:val="TOC2"/>
        <w:spacing w:line="480" w:lineRule="exact"/>
        <w:ind w:leftChars="0" w:left="0" w:firstLine="480"/>
        <w:rPr>
          <w:rFonts w:eastAsia="楷体_GB2312" w:cs="Times New Roman"/>
          <w:bCs/>
          <w:sz w:val="28"/>
          <w:szCs w:val="28"/>
        </w:rPr>
      </w:pPr>
      <w:hyperlink w:anchor="_Toc101773645" w:history="1">
        <w:r>
          <w:rPr>
            <w:rStyle w:val="af4"/>
            <w:rFonts w:eastAsia="楷体_GB2312" w:cs="Times New Roman"/>
            <w:bCs/>
            <w:sz w:val="28"/>
            <w:szCs w:val="28"/>
          </w:rPr>
          <w:t>（六）管理服务支撑</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_Toc101773645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27</w:t>
        </w:r>
        <w:r>
          <w:rPr>
            <w:rFonts w:eastAsia="楷体_GB2312" w:cs="Times New Roman"/>
            <w:bCs/>
            <w:sz w:val="28"/>
            <w:szCs w:val="28"/>
          </w:rPr>
          <w:fldChar w:fldCharType="end"/>
        </w:r>
      </w:hyperlink>
    </w:p>
    <w:p w14:paraId="212B8D35" w14:textId="77777777" w:rsidR="00AB51C8" w:rsidRDefault="00000000">
      <w:pPr>
        <w:pStyle w:val="TOC1"/>
        <w:spacing w:line="480" w:lineRule="exact"/>
        <w:rPr>
          <w:rFonts w:ascii="等线" w:eastAsia="等线" w:hAnsi="等线" w:cs="黑体"/>
          <w:sz w:val="28"/>
          <w:szCs w:val="28"/>
        </w:rPr>
      </w:pPr>
      <w:hyperlink w:anchor="_Toc101773646" w:history="1">
        <w:r>
          <w:rPr>
            <w:rStyle w:val="af4"/>
            <w:sz w:val="28"/>
            <w:szCs w:val="28"/>
          </w:rPr>
          <w:t>四、研究生教育改革情况</w:t>
        </w:r>
        <w:r>
          <w:rPr>
            <w:sz w:val="28"/>
            <w:szCs w:val="28"/>
          </w:rPr>
          <w:tab/>
        </w:r>
        <w:r>
          <w:rPr>
            <w:sz w:val="28"/>
            <w:szCs w:val="28"/>
          </w:rPr>
          <w:fldChar w:fldCharType="begin"/>
        </w:r>
        <w:r>
          <w:rPr>
            <w:sz w:val="28"/>
            <w:szCs w:val="28"/>
          </w:rPr>
          <w:instrText xml:space="preserve"> PAGEREF _Toc101773646 \h </w:instrText>
        </w:r>
        <w:r>
          <w:rPr>
            <w:sz w:val="28"/>
            <w:szCs w:val="28"/>
          </w:rPr>
        </w:r>
        <w:r>
          <w:rPr>
            <w:sz w:val="28"/>
            <w:szCs w:val="28"/>
          </w:rPr>
          <w:fldChar w:fldCharType="separate"/>
        </w:r>
        <w:r>
          <w:rPr>
            <w:sz w:val="28"/>
            <w:szCs w:val="28"/>
          </w:rPr>
          <w:t>28</w:t>
        </w:r>
        <w:r>
          <w:rPr>
            <w:sz w:val="28"/>
            <w:szCs w:val="28"/>
          </w:rPr>
          <w:fldChar w:fldCharType="end"/>
        </w:r>
      </w:hyperlink>
    </w:p>
    <w:p w14:paraId="1ED4F928" w14:textId="77777777" w:rsidR="00AB51C8" w:rsidRDefault="00000000">
      <w:pPr>
        <w:pStyle w:val="TOC2"/>
        <w:spacing w:line="480" w:lineRule="exact"/>
        <w:ind w:leftChars="0" w:left="0" w:firstLine="480"/>
        <w:rPr>
          <w:rFonts w:eastAsia="楷体_GB2312" w:cs="Times New Roman"/>
          <w:bCs/>
          <w:sz w:val="28"/>
          <w:szCs w:val="28"/>
        </w:rPr>
      </w:pPr>
      <w:hyperlink w:anchor="_Toc101773647" w:history="1">
        <w:r>
          <w:rPr>
            <w:rStyle w:val="af4"/>
            <w:rFonts w:eastAsia="楷体_GB2312" w:cs="Times New Roman"/>
            <w:bCs/>
            <w:sz w:val="28"/>
            <w:szCs w:val="28"/>
          </w:rPr>
          <w:t>（一）教师队伍建设</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_Toc101773647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28</w:t>
        </w:r>
        <w:r>
          <w:rPr>
            <w:rFonts w:eastAsia="楷体_GB2312" w:cs="Times New Roman"/>
            <w:bCs/>
            <w:sz w:val="28"/>
            <w:szCs w:val="28"/>
          </w:rPr>
          <w:fldChar w:fldCharType="end"/>
        </w:r>
      </w:hyperlink>
    </w:p>
    <w:p w14:paraId="6B673145" w14:textId="77777777" w:rsidR="00AB51C8" w:rsidRDefault="00000000">
      <w:pPr>
        <w:pStyle w:val="TOC2"/>
        <w:spacing w:line="480" w:lineRule="exact"/>
        <w:ind w:leftChars="0" w:left="0" w:firstLine="480"/>
        <w:rPr>
          <w:rFonts w:eastAsia="楷体_GB2312" w:cs="Times New Roman"/>
          <w:bCs/>
          <w:sz w:val="28"/>
          <w:szCs w:val="28"/>
        </w:rPr>
      </w:pPr>
      <w:hyperlink w:anchor="_Toc101773648" w:history="1">
        <w:r>
          <w:rPr>
            <w:rStyle w:val="af4"/>
            <w:rFonts w:eastAsia="楷体_GB2312" w:cs="Times New Roman"/>
            <w:bCs/>
            <w:sz w:val="28"/>
            <w:szCs w:val="28"/>
          </w:rPr>
          <w:t>（二）科学研究与资政研究</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_Toc101773648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28</w:t>
        </w:r>
        <w:r>
          <w:rPr>
            <w:rFonts w:eastAsia="楷体_GB2312" w:cs="Times New Roman"/>
            <w:bCs/>
            <w:sz w:val="28"/>
            <w:szCs w:val="28"/>
          </w:rPr>
          <w:fldChar w:fldCharType="end"/>
        </w:r>
      </w:hyperlink>
    </w:p>
    <w:p w14:paraId="70DA17AE" w14:textId="77777777" w:rsidR="00AB51C8" w:rsidRDefault="00000000">
      <w:pPr>
        <w:pStyle w:val="TOC2"/>
        <w:spacing w:line="480" w:lineRule="exact"/>
        <w:ind w:leftChars="0" w:left="0" w:firstLine="480"/>
        <w:rPr>
          <w:rFonts w:eastAsia="楷体_GB2312" w:cs="Times New Roman"/>
          <w:bCs/>
          <w:sz w:val="28"/>
          <w:szCs w:val="28"/>
        </w:rPr>
      </w:pPr>
      <w:hyperlink w:anchor="_Toc101773649" w:history="1">
        <w:r>
          <w:rPr>
            <w:rStyle w:val="af4"/>
            <w:rFonts w:eastAsia="楷体_GB2312" w:cs="Times New Roman"/>
            <w:bCs/>
            <w:sz w:val="28"/>
            <w:szCs w:val="28"/>
          </w:rPr>
          <w:t>（三）创新优秀文化</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_Toc101773649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29</w:t>
        </w:r>
        <w:r>
          <w:rPr>
            <w:rFonts w:eastAsia="楷体_GB2312" w:cs="Times New Roman"/>
            <w:bCs/>
            <w:sz w:val="28"/>
            <w:szCs w:val="28"/>
          </w:rPr>
          <w:fldChar w:fldCharType="end"/>
        </w:r>
      </w:hyperlink>
    </w:p>
    <w:p w14:paraId="79CB5289" w14:textId="77777777" w:rsidR="00AB51C8" w:rsidRDefault="00000000">
      <w:pPr>
        <w:pStyle w:val="TOC2"/>
        <w:spacing w:line="480" w:lineRule="exact"/>
        <w:ind w:leftChars="0" w:left="0" w:firstLine="480"/>
        <w:rPr>
          <w:rFonts w:eastAsia="楷体_GB2312" w:cs="Times New Roman"/>
          <w:bCs/>
          <w:sz w:val="28"/>
          <w:szCs w:val="28"/>
        </w:rPr>
      </w:pPr>
      <w:hyperlink w:anchor="_Toc101773650" w:history="1">
        <w:r>
          <w:rPr>
            <w:rStyle w:val="af4"/>
            <w:rFonts w:eastAsia="楷体_GB2312" w:cs="Times New Roman"/>
            <w:bCs/>
            <w:sz w:val="28"/>
            <w:szCs w:val="28"/>
          </w:rPr>
          <w:t>（四）国际交流</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_Toc101773650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30</w:t>
        </w:r>
        <w:r>
          <w:rPr>
            <w:rFonts w:eastAsia="楷体_GB2312" w:cs="Times New Roman"/>
            <w:bCs/>
            <w:sz w:val="28"/>
            <w:szCs w:val="28"/>
          </w:rPr>
          <w:fldChar w:fldCharType="end"/>
        </w:r>
      </w:hyperlink>
    </w:p>
    <w:p w14:paraId="082A5A5E" w14:textId="77777777" w:rsidR="00AB51C8" w:rsidRDefault="00000000">
      <w:pPr>
        <w:pStyle w:val="TOC1"/>
        <w:spacing w:line="480" w:lineRule="exact"/>
        <w:rPr>
          <w:rFonts w:ascii="等线" w:eastAsia="等线" w:hAnsi="等线" w:cs="黑体"/>
          <w:sz w:val="28"/>
          <w:szCs w:val="28"/>
        </w:rPr>
      </w:pPr>
      <w:hyperlink w:anchor="_Toc101773651" w:history="1">
        <w:r>
          <w:rPr>
            <w:rStyle w:val="af4"/>
            <w:sz w:val="28"/>
            <w:szCs w:val="28"/>
          </w:rPr>
          <w:t>五、教育质量评估与分析</w:t>
        </w:r>
        <w:r>
          <w:rPr>
            <w:sz w:val="28"/>
            <w:szCs w:val="28"/>
          </w:rPr>
          <w:tab/>
        </w:r>
        <w:r>
          <w:rPr>
            <w:sz w:val="28"/>
            <w:szCs w:val="28"/>
          </w:rPr>
          <w:fldChar w:fldCharType="begin"/>
        </w:r>
        <w:r>
          <w:rPr>
            <w:sz w:val="28"/>
            <w:szCs w:val="28"/>
          </w:rPr>
          <w:instrText xml:space="preserve"> PAGEREF _Toc101773651 \h </w:instrText>
        </w:r>
        <w:r>
          <w:rPr>
            <w:sz w:val="28"/>
            <w:szCs w:val="28"/>
          </w:rPr>
        </w:r>
        <w:r>
          <w:rPr>
            <w:sz w:val="28"/>
            <w:szCs w:val="28"/>
          </w:rPr>
          <w:fldChar w:fldCharType="separate"/>
        </w:r>
        <w:r>
          <w:rPr>
            <w:sz w:val="28"/>
            <w:szCs w:val="28"/>
          </w:rPr>
          <w:t>30</w:t>
        </w:r>
        <w:r>
          <w:rPr>
            <w:sz w:val="28"/>
            <w:szCs w:val="28"/>
          </w:rPr>
          <w:fldChar w:fldCharType="end"/>
        </w:r>
      </w:hyperlink>
    </w:p>
    <w:p w14:paraId="5BD980B8" w14:textId="77777777" w:rsidR="00AB51C8" w:rsidRDefault="00000000">
      <w:pPr>
        <w:pStyle w:val="TOC2"/>
        <w:spacing w:line="480" w:lineRule="exact"/>
        <w:ind w:leftChars="0" w:left="0" w:firstLine="480"/>
        <w:rPr>
          <w:rFonts w:eastAsia="楷体_GB2312" w:cs="Times New Roman"/>
          <w:bCs/>
          <w:sz w:val="28"/>
          <w:szCs w:val="28"/>
        </w:rPr>
      </w:pPr>
      <w:hyperlink w:anchor="_Toc101773652" w:history="1">
        <w:r>
          <w:rPr>
            <w:rStyle w:val="af4"/>
            <w:rFonts w:eastAsia="楷体_GB2312" w:cs="Times New Roman"/>
            <w:bCs/>
            <w:sz w:val="28"/>
            <w:szCs w:val="28"/>
          </w:rPr>
          <w:t>（一）学科自我评估进展</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_Toc101773652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30</w:t>
        </w:r>
        <w:r>
          <w:rPr>
            <w:rFonts w:eastAsia="楷体_GB2312" w:cs="Times New Roman"/>
            <w:bCs/>
            <w:sz w:val="28"/>
            <w:szCs w:val="28"/>
          </w:rPr>
          <w:fldChar w:fldCharType="end"/>
        </w:r>
      </w:hyperlink>
    </w:p>
    <w:p w14:paraId="422BF201" w14:textId="77777777" w:rsidR="00AB51C8" w:rsidRDefault="00000000">
      <w:pPr>
        <w:pStyle w:val="TOC2"/>
        <w:spacing w:line="480" w:lineRule="exact"/>
        <w:ind w:leftChars="0" w:left="0" w:firstLine="480"/>
        <w:rPr>
          <w:rFonts w:eastAsia="楷体_GB2312" w:cs="Times New Roman"/>
          <w:bCs/>
          <w:sz w:val="28"/>
          <w:szCs w:val="28"/>
        </w:rPr>
      </w:pPr>
      <w:hyperlink w:anchor="_Toc101773653" w:history="1">
        <w:r>
          <w:rPr>
            <w:rStyle w:val="af4"/>
            <w:rFonts w:eastAsia="楷体_GB2312" w:cs="Times New Roman"/>
            <w:bCs/>
            <w:sz w:val="28"/>
            <w:szCs w:val="28"/>
          </w:rPr>
          <w:t>（二）学位论文抽检情况</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_Toc101773653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31</w:t>
        </w:r>
        <w:r>
          <w:rPr>
            <w:rFonts w:eastAsia="楷体_GB2312" w:cs="Times New Roman"/>
            <w:bCs/>
            <w:sz w:val="28"/>
            <w:szCs w:val="28"/>
          </w:rPr>
          <w:fldChar w:fldCharType="end"/>
        </w:r>
      </w:hyperlink>
    </w:p>
    <w:p w14:paraId="2AEFDE11" w14:textId="77777777" w:rsidR="00AB51C8" w:rsidRDefault="00000000">
      <w:pPr>
        <w:pStyle w:val="TOC2"/>
        <w:spacing w:line="480" w:lineRule="exact"/>
        <w:ind w:leftChars="0" w:left="0" w:firstLine="480"/>
        <w:rPr>
          <w:rFonts w:eastAsia="楷体_GB2312" w:cs="Times New Roman"/>
          <w:bCs/>
          <w:sz w:val="28"/>
          <w:szCs w:val="28"/>
        </w:rPr>
      </w:pPr>
      <w:hyperlink w:anchor="_Toc101773654" w:history="1">
        <w:r>
          <w:rPr>
            <w:rStyle w:val="af4"/>
            <w:rFonts w:eastAsia="楷体_GB2312" w:cs="Times New Roman"/>
            <w:bCs/>
            <w:sz w:val="28"/>
            <w:szCs w:val="28"/>
          </w:rPr>
          <w:t>（三）问题分析</w:t>
        </w:r>
        <w:r>
          <w:rPr>
            <w:rFonts w:eastAsia="楷体_GB2312" w:cs="Times New Roman"/>
            <w:bCs/>
            <w:sz w:val="28"/>
            <w:szCs w:val="28"/>
          </w:rPr>
          <w:tab/>
        </w:r>
        <w:r>
          <w:rPr>
            <w:rFonts w:eastAsia="楷体_GB2312" w:cs="Times New Roman"/>
            <w:bCs/>
            <w:sz w:val="28"/>
            <w:szCs w:val="28"/>
          </w:rPr>
          <w:fldChar w:fldCharType="begin"/>
        </w:r>
        <w:r>
          <w:rPr>
            <w:rFonts w:eastAsia="楷体_GB2312" w:cs="Times New Roman"/>
            <w:bCs/>
            <w:sz w:val="28"/>
            <w:szCs w:val="28"/>
          </w:rPr>
          <w:instrText xml:space="preserve"> PAGEREF _Toc101773654 \h </w:instrText>
        </w:r>
        <w:r>
          <w:rPr>
            <w:rFonts w:eastAsia="楷体_GB2312" w:cs="Times New Roman"/>
            <w:bCs/>
            <w:sz w:val="28"/>
            <w:szCs w:val="28"/>
          </w:rPr>
        </w:r>
        <w:r>
          <w:rPr>
            <w:rFonts w:eastAsia="楷体_GB2312" w:cs="Times New Roman"/>
            <w:bCs/>
            <w:sz w:val="28"/>
            <w:szCs w:val="28"/>
          </w:rPr>
          <w:fldChar w:fldCharType="separate"/>
        </w:r>
        <w:r>
          <w:rPr>
            <w:rFonts w:eastAsia="楷体_GB2312" w:cs="Times New Roman"/>
            <w:bCs/>
            <w:sz w:val="28"/>
            <w:szCs w:val="28"/>
          </w:rPr>
          <w:t>31</w:t>
        </w:r>
        <w:r>
          <w:rPr>
            <w:rFonts w:eastAsia="楷体_GB2312" w:cs="Times New Roman"/>
            <w:bCs/>
            <w:sz w:val="28"/>
            <w:szCs w:val="28"/>
          </w:rPr>
          <w:fldChar w:fldCharType="end"/>
        </w:r>
      </w:hyperlink>
    </w:p>
    <w:p w14:paraId="4F26F383" w14:textId="77777777" w:rsidR="00AB51C8" w:rsidRDefault="00000000">
      <w:pPr>
        <w:pStyle w:val="TOC1"/>
        <w:spacing w:line="480" w:lineRule="exact"/>
        <w:rPr>
          <w:rFonts w:ascii="等线" w:eastAsia="等线" w:hAnsi="等线" w:cs="黑体"/>
          <w:sz w:val="21"/>
          <w:szCs w:val="22"/>
        </w:rPr>
      </w:pPr>
      <w:hyperlink w:anchor="_Toc101773655" w:history="1">
        <w:r>
          <w:rPr>
            <w:rStyle w:val="af4"/>
            <w:sz w:val="28"/>
            <w:szCs w:val="28"/>
          </w:rPr>
          <w:t>六、改进措施</w:t>
        </w:r>
        <w:r>
          <w:rPr>
            <w:sz w:val="28"/>
            <w:szCs w:val="28"/>
          </w:rPr>
          <w:tab/>
        </w:r>
        <w:r>
          <w:rPr>
            <w:sz w:val="28"/>
            <w:szCs w:val="28"/>
          </w:rPr>
          <w:fldChar w:fldCharType="begin"/>
        </w:r>
        <w:r>
          <w:rPr>
            <w:sz w:val="28"/>
            <w:szCs w:val="28"/>
          </w:rPr>
          <w:instrText xml:space="preserve"> PAGEREF _Toc101773655 \h </w:instrText>
        </w:r>
        <w:r>
          <w:rPr>
            <w:sz w:val="28"/>
            <w:szCs w:val="28"/>
          </w:rPr>
        </w:r>
        <w:r>
          <w:rPr>
            <w:sz w:val="28"/>
            <w:szCs w:val="28"/>
          </w:rPr>
          <w:fldChar w:fldCharType="separate"/>
        </w:r>
        <w:r>
          <w:rPr>
            <w:sz w:val="28"/>
            <w:szCs w:val="28"/>
          </w:rPr>
          <w:t>31</w:t>
        </w:r>
        <w:r>
          <w:rPr>
            <w:sz w:val="28"/>
            <w:szCs w:val="28"/>
          </w:rPr>
          <w:fldChar w:fldCharType="end"/>
        </w:r>
      </w:hyperlink>
    </w:p>
    <w:p w14:paraId="2458D16B" w14:textId="77777777" w:rsidR="00AB51C8" w:rsidRDefault="00000000">
      <w:pPr>
        <w:ind w:firstLine="482"/>
      </w:pPr>
      <w:r>
        <w:rPr>
          <w:b/>
        </w:rPr>
        <w:fldChar w:fldCharType="end"/>
      </w:r>
    </w:p>
    <w:p w14:paraId="7E66ADC4" w14:textId="77777777" w:rsidR="00AB51C8" w:rsidRDefault="00AB51C8">
      <w:pPr>
        <w:pStyle w:val="3"/>
        <w:spacing w:before="156" w:after="156"/>
        <w:ind w:firstLineChars="0" w:firstLine="0"/>
        <w:sectPr w:rsidR="00AB51C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cols w:space="425"/>
          <w:docGrid w:type="lines" w:linePitch="312"/>
        </w:sectPr>
      </w:pPr>
    </w:p>
    <w:p w14:paraId="44252560" w14:textId="77777777" w:rsidR="00AB51C8" w:rsidRDefault="00000000">
      <w:pPr>
        <w:pStyle w:val="1"/>
        <w:spacing w:line="560" w:lineRule="exact"/>
        <w:ind w:firstLineChars="200" w:firstLine="640"/>
        <w:rPr>
          <w:rFonts w:ascii="黑体" w:hAnsi="黑体" w:cs="Times New Roman"/>
          <w:b w:val="0"/>
          <w:bCs w:val="0"/>
          <w:szCs w:val="32"/>
        </w:rPr>
      </w:pPr>
      <w:bookmarkStart w:id="2" w:name="_Toc101773629"/>
      <w:r>
        <w:rPr>
          <w:rFonts w:ascii="黑体" w:hAnsi="黑体" w:cs="Times New Roman"/>
          <w:b w:val="0"/>
          <w:bCs w:val="0"/>
          <w:szCs w:val="32"/>
        </w:rPr>
        <w:lastRenderedPageBreak/>
        <w:t>一、总体概况</w:t>
      </w:r>
      <w:bookmarkEnd w:id="2"/>
    </w:p>
    <w:p w14:paraId="6017A060" w14:textId="77777777" w:rsidR="00AB51C8" w:rsidRDefault="00000000">
      <w:pPr>
        <w:pStyle w:val="21"/>
        <w:spacing w:line="560" w:lineRule="exact"/>
        <w:ind w:firstLineChars="200" w:firstLine="640"/>
        <w:rPr>
          <w:rFonts w:ascii="楷体_GB2312" w:eastAsia="楷体_GB2312"/>
          <w:sz w:val="32"/>
          <w:szCs w:val="32"/>
        </w:rPr>
      </w:pPr>
      <w:bookmarkStart w:id="3" w:name="_Toc101773630"/>
      <w:r>
        <w:rPr>
          <w:rFonts w:ascii="楷体_GB2312" w:eastAsia="楷体_GB2312" w:hint="eastAsia"/>
          <w:sz w:val="32"/>
          <w:szCs w:val="32"/>
        </w:rPr>
        <w:t>（一）学位授权点基本情况</w:t>
      </w:r>
      <w:bookmarkEnd w:id="3"/>
    </w:p>
    <w:p w14:paraId="05706E2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中国环境科学研究院成立于</w:t>
      </w:r>
      <w:r>
        <w:rPr>
          <w:rFonts w:eastAsia="仿宋_GB2312" w:cs="Times New Roman"/>
          <w:sz w:val="32"/>
          <w:szCs w:val="32"/>
        </w:rPr>
        <w:t>1978</w:t>
      </w:r>
      <w:r>
        <w:rPr>
          <w:rFonts w:eastAsia="仿宋_GB2312" w:cs="Times New Roman"/>
          <w:sz w:val="32"/>
          <w:szCs w:val="32"/>
        </w:rPr>
        <w:t>年，于</w:t>
      </w:r>
      <w:r>
        <w:rPr>
          <w:rFonts w:eastAsia="仿宋_GB2312" w:cs="Times New Roman"/>
          <w:sz w:val="32"/>
          <w:szCs w:val="32"/>
        </w:rPr>
        <w:t>2000</w:t>
      </w:r>
      <w:r>
        <w:rPr>
          <w:rFonts w:eastAsia="仿宋_GB2312" w:cs="Times New Roman"/>
          <w:sz w:val="32"/>
          <w:szCs w:val="32"/>
        </w:rPr>
        <w:t>年经教育部批准为人口、资源与环境经济学硕士学位授权点。多年来，本学位授权点坚持人才培养与环境管理需求相结合、专业学习与科研实践相融合的学科建设和专业人才培养理念，依托生态环境部，以国家环境保护生态工业重点实验室为科研平台，采取精英式培养模式，按照</w:t>
      </w:r>
      <w:r>
        <w:rPr>
          <w:rFonts w:eastAsia="仿宋_GB2312" w:cs="Times New Roman"/>
          <w:sz w:val="32"/>
          <w:szCs w:val="32"/>
        </w:rPr>
        <w:t>“</w:t>
      </w:r>
      <w:r>
        <w:rPr>
          <w:rFonts w:eastAsia="仿宋_GB2312" w:cs="Times New Roman"/>
          <w:sz w:val="32"/>
          <w:szCs w:val="32"/>
        </w:rPr>
        <w:t>多对一</w:t>
      </w:r>
      <w:r>
        <w:rPr>
          <w:rFonts w:eastAsia="仿宋_GB2312" w:cs="Times New Roman"/>
          <w:sz w:val="32"/>
          <w:szCs w:val="32"/>
        </w:rPr>
        <w:t>”</w:t>
      </w:r>
      <w:r>
        <w:rPr>
          <w:rFonts w:eastAsia="仿宋_GB2312" w:cs="Times New Roman"/>
          <w:sz w:val="32"/>
          <w:szCs w:val="32"/>
        </w:rPr>
        <w:t>培养机制，围绕国家绿色低碳循环发展战略和环境管理需求，形成了</w:t>
      </w:r>
      <w:r>
        <w:rPr>
          <w:rFonts w:eastAsia="仿宋_GB2312" w:cs="Times New Roman"/>
          <w:sz w:val="32"/>
          <w:szCs w:val="32"/>
        </w:rPr>
        <w:t>“</w:t>
      </w:r>
      <w:r>
        <w:rPr>
          <w:rFonts w:eastAsia="仿宋_GB2312" w:cs="Times New Roman"/>
          <w:sz w:val="32"/>
          <w:szCs w:val="32"/>
        </w:rPr>
        <w:t>清洁生产、循环经济政策与管理</w:t>
      </w:r>
      <w:r>
        <w:rPr>
          <w:rFonts w:eastAsia="仿宋_GB2312" w:cs="Times New Roman"/>
          <w:sz w:val="32"/>
          <w:szCs w:val="32"/>
        </w:rPr>
        <w:t>”“</w:t>
      </w:r>
      <w:r>
        <w:rPr>
          <w:rFonts w:eastAsia="仿宋_GB2312" w:cs="Times New Roman"/>
          <w:sz w:val="32"/>
          <w:szCs w:val="32"/>
        </w:rPr>
        <w:t>能源环境经济与政策</w:t>
      </w:r>
      <w:r>
        <w:rPr>
          <w:rFonts w:eastAsia="仿宋_GB2312" w:cs="Times New Roman"/>
          <w:sz w:val="32"/>
          <w:szCs w:val="32"/>
        </w:rPr>
        <w:t>”</w:t>
      </w:r>
      <w:r>
        <w:rPr>
          <w:rFonts w:eastAsia="仿宋_GB2312" w:cs="Times New Roman"/>
          <w:sz w:val="32"/>
          <w:szCs w:val="32"/>
        </w:rPr>
        <w:t>两个培养方向。并于</w:t>
      </w:r>
      <w:r>
        <w:rPr>
          <w:rFonts w:eastAsia="仿宋_GB2312" w:cs="Times New Roman"/>
          <w:sz w:val="32"/>
          <w:szCs w:val="32"/>
        </w:rPr>
        <w:t>2021</w:t>
      </w:r>
      <w:r>
        <w:rPr>
          <w:rFonts w:eastAsia="仿宋_GB2312" w:cs="Times New Roman"/>
          <w:sz w:val="32"/>
          <w:szCs w:val="32"/>
        </w:rPr>
        <w:t>年，推进环境经济学、环境社会学的交叉研究，设立环境社会学研究室。形成了一支以中国工程院院士段宁为学科带头人，老中青结合、专业特色鲜明、富有创新精神的专任师资队伍。</w:t>
      </w:r>
    </w:p>
    <w:p w14:paraId="453F6C0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2017</w:t>
      </w:r>
      <w:r>
        <w:rPr>
          <w:rFonts w:eastAsia="仿宋_GB2312" w:cs="Times New Roman"/>
          <w:sz w:val="32"/>
          <w:szCs w:val="32"/>
        </w:rPr>
        <w:t>年中国环境科学研究</w:t>
      </w:r>
      <w:proofErr w:type="gramStart"/>
      <w:r>
        <w:rPr>
          <w:rFonts w:eastAsia="仿宋_GB2312" w:cs="Times New Roman"/>
          <w:sz w:val="32"/>
          <w:szCs w:val="32"/>
        </w:rPr>
        <w:t>院成功</w:t>
      </w:r>
      <w:proofErr w:type="gramEnd"/>
      <w:r>
        <w:rPr>
          <w:rFonts w:eastAsia="仿宋_GB2312" w:cs="Times New Roman"/>
          <w:sz w:val="32"/>
          <w:szCs w:val="32"/>
        </w:rPr>
        <w:t>入选</w:t>
      </w:r>
      <w:r>
        <w:rPr>
          <w:rFonts w:eastAsia="仿宋_GB2312" w:cs="Times New Roman"/>
          <w:sz w:val="32"/>
          <w:szCs w:val="32"/>
        </w:rPr>
        <w:t>“</w:t>
      </w:r>
      <w:r>
        <w:rPr>
          <w:rFonts w:eastAsia="仿宋_GB2312" w:cs="Times New Roman"/>
          <w:sz w:val="32"/>
          <w:szCs w:val="32"/>
        </w:rPr>
        <w:t>国家创新人才培养示范基地</w:t>
      </w:r>
      <w:r>
        <w:rPr>
          <w:rFonts w:eastAsia="仿宋_GB2312" w:cs="Times New Roman"/>
          <w:sz w:val="32"/>
          <w:szCs w:val="32"/>
        </w:rPr>
        <w:t>”</w:t>
      </w:r>
      <w:r>
        <w:rPr>
          <w:rFonts w:eastAsia="仿宋_GB2312" w:cs="Times New Roman"/>
          <w:sz w:val="32"/>
          <w:szCs w:val="32"/>
        </w:rPr>
        <w:t>。依托国家环境保护生态工业重点实验室，重点开展清洁生产技术减排绩效评估、成本效益分析等科学研究。共享院内资料中心（其中收藏、订阅与本学科方向相关的</w:t>
      </w:r>
      <w:r>
        <w:rPr>
          <w:rFonts w:eastAsia="仿宋_GB2312" w:cs="Times New Roman"/>
          <w:sz w:val="32"/>
          <w:szCs w:val="32"/>
        </w:rPr>
        <w:t>30</w:t>
      </w:r>
      <w:r>
        <w:rPr>
          <w:rFonts w:eastAsia="仿宋_GB2312" w:cs="Times New Roman"/>
          <w:sz w:val="32"/>
          <w:szCs w:val="32"/>
        </w:rPr>
        <w:t>余种国内外期刊，建有包括同方知网、</w:t>
      </w:r>
      <w:r>
        <w:rPr>
          <w:rFonts w:eastAsia="仿宋_GB2312" w:cs="Times New Roman"/>
          <w:sz w:val="32"/>
          <w:szCs w:val="32"/>
        </w:rPr>
        <w:t>ScienceDirect</w:t>
      </w:r>
      <w:r>
        <w:rPr>
          <w:rFonts w:eastAsia="仿宋_GB2312" w:cs="Times New Roman"/>
          <w:sz w:val="32"/>
          <w:szCs w:val="32"/>
        </w:rPr>
        <w:t>等在内的数字图书馆）、信息中心等基础平台。</w:t>
      </w:r>
    </w:p>
    <w:p w14:paraId="2D1FD41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本学位授权</w:t>
      </w:r>
      <w:proofErr w:type="gramStart"/>
      <w:r>
        <w:rPr>
          <w:rFonts w:eastAsia="仿宋_GB2312" w:cs="Times New Roman"/>
          <w:sz w:val="32"/>
          <w:szCs w:val="32"/>
        </w:rPr>
        <w:t>点按照</w:t>
      </w:r>
      <w:proofErr w:type="gramEnd"/>
      <w:r>
        <w:rPr>
          <w:rFonts w:eastAsia="仿宋_GB2312" w:cs="Times New Roman"/>
          <w:sz w:val="32"/>
          <w:szCs w:val="32"/>
        </w:rPr>
        <w:t>培养方向及专业特点设置课程体系。课程教学严格按照教学大纲进行，由研究生课程督导小组对授课情况和效果进行监督和指导。学位课程采用教材与内部讲义、</w:t>
      </w:r>
      <w:r>
        <w:rPr>
          <w:rFonts w:eastAsia="仿宋_GB2312" w:cs="Times New Roman"/>
          <w:sz w:val="32"/>
          <w:szCs w:val="32"/>
        </w:rPr>
        <w:lastRenderedPageBreak/>
        <w:t>参考资料相结合的方式授课，采用科教融合方式来培养学生科研能力。注重专业基础理论知识学习的同时，强化科研和管理实践能力培训，在环境政策和环境管理人才培养方面发挥重要作用。</w:t>
      </w:r>
    </w:p>
    <w:p w14:paraId="3918026B"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学位授权点以培养坚持德智体美劳全面发展，培养具有良好的思想品德和学术道德，具备扎实的经济学、管理学等基础理论和专业知识，掌握现代经济分析方法和政策分析工具，能够及时准确地把握本专业理论与实践的前沿动态，能够分析和解决环境经济与政策领域实际问题的高层次复合型人才为目标。毕业生具有较高的综合素质，能够熟练使用一门外语，能够胜任环境经济与政策领域的科研、规划及管理等岗位的工作。</w:t>
      </w:r>
    </w:p>
    <w:p w14:paraId="6921A613"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拥有循环经济、清洁生产政策与管理，以及能源环境经济与政策两个学科方向。其中，循环经济、清洁生产政策与管理的主要研究领域包括：</w:t>
      </w:r>
    </w:p>
    <w:p w14:paraId="4AED139F"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）循环经济理论及其应用：区域循环经济规划、管理与政策；区域经济与资源环境协调发展；资源和环境承载能力评估；资源循环利用成本效益评估。</w:t>
      </w:r>
    </w:p>
    <w:p w14:paraId="0416AA1C"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）生态产业规划与管理：生态产业发展模式与规划；工业共生、工业代谢及其环境经济评估；生命周期评价；清洁生产产业、环保产业政策与管理。</w:t>
      </w:r>
    </w:p>
    <w:p w14:paraId="7488A47F"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）清洁生产政策与管理：清洁生产技术政策、标准及其经济学分析；工业污染过程控制技术及其经济学分析；工业行</w:t>
      </w:r>
      <w:r>
        <w:rPr>
          <w:rFonts w:eastAsia="仿宋_GB2312" w:cs="Times New Roman"/>
          <w:sz w:val="32"/>
          <w:szCs w:val="32"/>
        </w:rPr>
        <w:lastRenderedPageBreak/>
        <w:t>业污染防治政策及减排绩效分析；产业准入环境管理。</w:t>
      </w:r>
    </w:p>
    <w:p w14:paraId="391BA26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能源环境经济与政策的主要研究领域集中在：</w:t>
      </w:r>
    </w:p>
    <w:p w14:paraId="74325CC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）能源环境影响评估；区域能源结构与布局优化方案设计；能源环境分区与管控政策。</w:t>
      </w:r>
    </w:p>
    <w:p w14:paraId="4B1F0953"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w:t>
      </w:r>
      <w:proofErr w:type="gramStart"/>
      <w:r>
        <w:rPr>
          <w:rFonts w:eastAsia="仿宋_GB2312" w:cs="Times New Roman"/>
          <w:sz w:val="32"/>
          <w:szCs w:val="32"/>
        </w:rPr>
        <w:t>碳减排</w:t>
      </w:r>
      <w:proofErr w:type="gramEnd"/>
      <w:r>
        <w:rPr>
          <w:rFonts w:eastAsia="仿宋_GB2312" w:cs="Times New Roman"/>
          <w:sz w:val="32"/>
          <w:szCs w:val="32"/>
        </w:rPr>
        <w:t>政策：区域大气污染物与温室气体协同减排政策；</w:t>
      </w:r>
      <w:proofErr w:type="gramStart"/>
      <w:r>
        <w:rPr>
          <w:rFonts w:eastAsia="仿宋_GB2312" w:cs="Times New Roman"/>
          <w:sz w:val="32"/>
          <w:szCs w:val="32"/>
        </w:rPr>
        <w:t>碳市场</w:t>
      </w:r>
      <w:proofErr w:type="gramEnd"/>
      <w:r>
        <w:rPr>
          <w:rFonts w:eastAsia="仿宋_GB2312" w:cs="Times New Roman"/>
          <w:sz w:val="32"/>
          <w:szCs w:val="32"/>
        </w:rPr>
        <w:t>建设、碳交易、</w:t>
      </w:r>
      <w:proofErr w:type="gramStart"/>
      <w:r>
        <w:rPr>
          <w:rFonts w:eastAsia="仿宋_GB2312" w:cs="Times New Roman"/>
          <w:sz w:val="32"/>
          <w:szCs w:val="32"/>
        </w:rPr>
        <w:t>碳金融</w:t>
      </w:r>
      <w:proofErr w:type="gramEnd"/>
      <w:r>
        <w:rPr>
          <w:rFonts w:eastAsia="仿宋_GB2312" w:cs="Times New Roman"/>
          <w:sz w:val="32"/>
          <w:szCs w:val="32"/>
        </w:rPr>
        <w:t>政策设计与应用。</w:t>
      </w:r>
    </w:p>
    <w:p w14:paraId="00B5A1E1"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）环境经济评估与政策：环境经济评估技术方法；环境政策模拟与评估；环境经济政策设计。</w:t>
      </w:r>
    </w:p>
    <w:p w14:paraId="530FD75B" w14:textId="77777777" w:rsidR="00AB51C8" w:rsidRDefault="00000000">
      <w:pPr>
        <w:pStyle w:val="21"/>
        <w:spacing w:line="560" w:lineRule="exact"/>
        <w:ind w:firstLineChars="200" w:firstLine="640"/>
        <w:rPr>
          <w:rFonts w:ascii="楷体_GB2312" w:eastAsia="楷体_GB2312"/>
          <w:sz w:val="32"/>
          <w:szCs w:val="32"/>
        </w:rPr>
      </w:pPr>
      <w:bookmarkStart w:id="4" w:name="_Toc101773631"/>
      <w:r>
        <w:rPr>
          <w:rFonts w:ascii="楷体_GB2312" w:eastAsia="楷体_GB2312" w:hint="eastAsia"/>
          <w:sz w:val="32"/>
          <w:szCs w:val="32"/>
        </w:rPr>
        <w:t>（二）研究生招生及在读情况</w:t>
      </w:r>
      <w:bookmarkEnd w:id="4"/>
    </w:p>
    <w:p w14:paraId="21C594C1"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2020-2021</w:t>
      </w:r>
      <w:r>
        <w:rPr>
          <w:rFonts w:eastAsia="仿宋_GB2312" w:cs="Times New Roman"/>
          <w:sz w:val="32"/>
          <w:szCs w:val="32"/>
        </w:rPr>
        <w:t>年人口、资源与环境经济学学位授权点共招收硕士研究生</w:t>
      </w:r>
      <w:r>
        <w:rPr>
          <w:rFonts w:eastAsia="仿宋_GB2312" w:cs="Times New Roman"/>
          <w:sz w:val="32"/>
          <w:szCs w:val="32"/>
        </w:rPr>
        <w:t>12</w:t>
      </w:r>
      <w:r>
        <w:rPr>
          <w:rFonts w:eastAsia="仿宋_GB2312" w:cs="Times New Roman"/>
          <w:sz w:val="32"/>
          <w:szCs w:val="32"/>
        </w:rPr>
        <w:t>人（具体见</w:t>
      </w:r>
      <w:r>
        <w:rPr>
          <w:rFonts w:eastAsia="仿宋_GB2312" w:cs="Times New Roman"/>
          <w:sz w:val="32"/>
          <w:szCs w:val="32"/>
        </w:rPr>
        <w:fldChar w:fldCharType="begin"/>
      </w:r>
      <w:r>
        <w:rPr>
          <w:rFonts w:eastAsia="仿宋_GB2312" w:cs="Times New Roman"/>
          <w:sz w:val="32"/>
          <w:szCs w:val="32"/>
        </w:rPr>
        <w:instrText xml:space="preserve"> REF _Ref101769384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b/>
          <w:sz w:val="32"/>
          <w:szCs w:val="32"/>
        </w:rPr>
        <w:t>表</w:t>
      </w:r>
      <w:r>
        <w:rPr>
          <w:rFonts w:eastAsia="仿宋_GB2312" w:cs="Times New Roman"/>
          <w:b/>
          <w:sz w:val="32"/>
          <w:szCs w:val="32"/>
        </w:rPr>
        <w:t xml:space="preserve"> 1</w:t>
      </w:r>
      <w:r>
        <w:rPr>
          <w:rFonts w:eastAsia="仿宋_GB2312" w:cs="Times New Roman"/>
          <w:sz w:val="32"/>
          <w:szCs w:val="32"/>
        </w:rPr>
        <w:fldChar w:fldCharType="end"/>
      </w:r>
      <w:r>
        <w:rPr>
          <w:rFonts w:eastAsia="仿宋_GB2312" w:cs="Times New Roman"/>
          <w:sz w:val="32"/>
          <w:szCs w:val="32"/>
        </w:rPr>
        <w:t>）。硕士招生形式为公开招考和推荐免试，通过夏令营等活动吸引国内优秀大学生报考。录取过程公正公平公开，严格按照环科院制定的选拔制度和程序进行，并公开招生方案、公示预录取结果。</w:t>
      </w:r>
    </w:p>
    <w:p w14:paraId="33E87520" w14:textId="77777777" w:rsidR="00AB51C8" w:rsidRDefault="00000000">
      <w:pPr>
        <w:pStyle w:val="a5"/>
        <w:rPr>
          <w:b/>
          <w:sz w:val="24"/>
          <w:szCs w:val="24"/>
        </w:rPr>
      </w:pPr>
      <w:bookmarkStart w:id="5" w:name="_Ref101769384"/>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1</w:t>
      </w:r>
      <w:r>
        <w:rPr>
          <w:b/>
          <w:sz w:val="24"/>
          <w:szCs w:val="24"/>
        </w:rPr>
        <w:fldChar w:fldCharType="end"/>
      </w:r>
      <w:bookmarkEnd w:id="5"/>
      <w:r>
        <w:rPr>
          <w:rFonts w:hint="eastAsia"/>
          <w:b/>
          <w:sz w:val="24"/>
          <w:szCs w:val="24"/>
        </w:rPr>
        <w:t xml:space="preserve"> 2020-2021</w:t>
      </w:r>
      <w:r>
        <w:rPr>
          <w:rFonts w:hint="eastAsia"/>
          <w:b/>
          <w:sz w:val="24"/>
          <w:szCs w:val="24"/>
        </w:rPr>
        <w:t>年中国环境科学研究院人口、资源与环境经济学招生情况汇总</w:t>
      </w: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3402"/>
        <w:gridCol w:w="1418"/>
        <w:gridCol w:w="1098"/>
      </w:tblGrid>
      <w:tr w:rsidR="00AB51C8" w14:paraId="38049DCC" w14:textId="77777777">
        <w:trPr>
          <w:trHeight w:val="113"/>
        </w:trPr>
        <w:tc>
          <w:tcPr>
            <w:tcW w:w="240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77E20B43"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学科方向名称</w:t>
            </w: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5D703D9"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项目</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4BB7513"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2020</w:t>
            </w:r>
            <w:r>
              <w:rPr>
                <w:rFonts w:ascii="Times New Roman" w:eastAsia="仿宋_GB2312" w:hAnsi="Times New Roman" w:cs="Times New Roman"/>
                <w:b/>
              </w:rPr>
              <w:t>年</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6871A30"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2021</w:t>
            </w:r>
            <w:r>
              <w:rPr>
                <w:rFonts w:ascii="Times New Roman" w:eastAsia="仿宋_GB2312" w:hAnsi="Times New Roman" w:cs="Times New Roman"/>
                <w:b/>
              </w:rPr>
              <w:t>年</w:t>
            </w:r>
          </w:p>
        </w:tc>
      </w:tr>
      <w:tr w:rsidR="00AB51C8" w14:paraId="76C7385E" w14:textId="77777777">
        <w:trPr>
          <w:trHeight w:val="113"/>
        </w:trPr>
        <w:tc>
          <w:tcPr>
            <w:tcW w:w="2405" w:type="dxa"/>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14:paraId="2426666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循环经济、清洁生产政策与管理</w:t>
            </w: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033B909"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研究生招生人数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0B4E87E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EBF951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r>
      <w:tr w:rsidR="00AB51C8" w14:paraId="53D6D374" w14:textId="77777777">
        <w:trPr>
          <w:trHeight w:val="113"/>
        </w:trPr>
        <w:tc>
          <w:tcPr>
            <w:tcW w:w="2405" w:type="dxa"/>
            <w:vMerge/>
            <w:tcBorders>
              <w:left w:val="single" w:sz="4" w:space="0" w:color="auto"/>
              <w:right w:val="single" w:sz="4" w:space="0" w:color="auto"/>
            </w:tcBorders>
            <w:tcMar>
              <w:top w:w="10" w:type="dxa"/>
              <w:left w:w="10" w:type="dxa"/>
              <w:bottom w:w="0" w:type="dxa"/>
              <w:right w:w="10" w:type="dxa"/>
            </w:tcMar>
            <w:vAlign w:val="center"/>
          </w:tcPr>
          <w:p w14:paraId="53CA6402"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66B964B" w14:textId="77777777" w:rsidR="00AB51C8" w:rsidRDefault="00000000">
            <w:pPr>
              <w:pStyle w:val="15"/>
              <w:adjustRightInd w:val="0"/>
              <w:snapToGrid w:val="0"/>
              <w:ind w:firstLine="480"/>
              <w:jc w:val="both"/>
              <w:rPr>
                <w:rFonts w:ascii="Times New Roman" w:eastAsia="仿宋_GB2312" w:hAnsi="Times New Roman" w:cs="Times New Roman"/>
              </w:rPr>
            </w:pPr>
            <w:r>
              <w:rPr>
                <w:rFonts w:ascii="Times New Roman" w:eastAsia="仿宋_GB2312" w:hAnsi="Times New Roman" w:cs="Times New Roman"/>
              </w:rPr>
              <w:t>其中：全日制招生人数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8716E7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2A8E14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r>
      <w:tr w:rsidR="00AB51C8" w14:paraId="0288D556" w14:textId="77777777">
        <w:trPr>
          <w:trHeight w:val="113"/>
        </w:trPr>
        <w:tc>
          <w:tcPr>
            <w:tcW w:w="2405" w:type="dxa"/>
            <w:vMerge/>
            <w:tcBorders>
              <w:left w:val="single" w:sz="4" w:space="0" w:color="auto"/>
              <w:right w:val="single" w:sz="4" w:space="0" w:color="auto"/>
            </w:tcBorders>
            <w:tcMar>
              <w:top w:w="10" w:type="dxa"/>
              <w:left w:w="10" w:type="dxa"/>
              <w:bottom w:w="0" w:type="dxa"/>
              <w:right w:w="10" w:type="dxa"/>
            </w:tcMar>
            <w:vAlign w:val="center"/>
          </w:tcPr>
          <w:p w14:paraId="737AFCC1"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03F5C5E" w14:textId="77777777" w:rsidR="00AB51C8" w:rsidRDefault="00000000">
            <w:pPr>
              <w:pStyle w:val="15"/>
              <w:adjustRightInd w:val="0"/>
              <w:snapToGrid w:val="0"/>
              <w:ind w:firstLineChars="500" w:firstLine="1200"/>
              <w:jc w:val="both"/>
              <w:rPr>
                <w:rFonts w:ascii="Times New Roman" w:eastAsia="仿宋_GB2312" w:hAnsi="Times New Roman" w:cs="Times New Roman"/>
              </w:rPr>
            </w:pPr>
            <w:r>
              <w:rPr>
                <w:rFonts w:ascii="Times New Roman" w:eastAsia="仿宋_GB2312" w:hAnsi="Times New Roman" w:cs="Times New Roman"/>
              </w:rPr>
              <w:t>非全日制招生人数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9C75D7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05A47F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r>
      <w:tr w:rsidR="00AB51C8" w14:paraId="6BD84B0E" w14:textId="77777777">
        <w:trPr>
          <w:trHeight w:val="113"/>
        </w:trPr>
        <w:tc>
          <w:tcPr>
            <w:tcW w:w="2405" w:type="dxa"/>
            <w:vMerge/>
            <w:tcBorders>
              <w:left w:val="single" w:sz="4" w:space="0" w:color="auto"/>
              <w:right w:val="single" w:sz="4" w:space="0" w:color="auto"/>
            </w:tcBorders>
            <w:tcMar>
              <w:top w:w="10" w:type="dxa"/>
              <w:left w:w="10" w:type="dxa"/>
              <w:bottom w:w="0" w:type="dxa"/>
              <w:right w:w="10" w:type="dxa"/>
            </w:tcMar>
            <w:vAlign w:val="center"/>
          </w:tcPr>
          <w:p w14:paraId="566CF399"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CCA06A2"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招录学生中</w:t>
            </w:r>
            <w:proofErr w:type="gramStart"/>
            <w:r>
              <w:rPr>
                <w:rFonts w:ascii="Times New Roman" w:eastAsia="仿宋_GB2312" w:hAnsi="Times New Roman" w:cs="Times New Roman"/>
              </w:rPr>
              <w:t>本科推免生人</w:t>
            </w:r>
            <w:proofErr w:type="gramEnd"/>
            <w:r>
              <w:rPr>
                <w:rFonts w:ascii="Times New Roman" w:eastAsia="仿宋_GB2312" w:hAnsi="Times New Roman" w:cs="Times New Roman"/>
              </w:rPr>
              <w:t>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D6D3B5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428B0F5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r>
      <w:tr w:rsidR="00AB51C8" w14:paraId="51825AE9" w14:textId="77777777">
        <w:trPr>
          <w:trHeight w:val="113"/>
        </w:trPr>
        <w:tc>
          <w:tcPr>
            <w:tcW w:w="2405" w:type="dxa"/>
            <w:vMerge/>
            <w:tcBorders>
              <w:left w:val="single" w:sz="4" w:space="0" w:color="auto"/>
              <w:right w:val="single" w:sz="4" w:space="0" w:color="auto"/>
            </w:tcBorders>
            <w:tcMar>
              <w:top w:w="10" w:type="dxa"/>
              <w:left w:w="10" w:type="dxa"/>
              <w:bottom w:w="0" w:type="dxa"/>
              <w:right w:w="10" w:type="dxa"/>
            </w:tcMar>
            <w:vAlign w:val="center"/>
          </w:tcPr>
          <w:p w14:paraId="63C438BE"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9C1B726"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招录学生中普通招考人数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79C1CC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B07B39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r>
      <w:tr w:rsidR="00AB51C8" w14:paraId="24864870" w14:textId="77777777">
        <w:trPr>
          <w:trHeight w:val="113"/>
        </w:trPr>
        <w:tc>
          <w:tcPr>
            <w:tcW w:w="2405" w:type="dxa"/>
            <w:vMerge/>
            <w:tcBorders>
              <w:left w:val="single" w:sz="4" w:space="0" w:color="auto"/>
              <w:bottom w:val="single" w:sz="4" w:space="0" w:color="auto"/>
              <w:right w:val="single" w:sz="4" w:space="0" w:color="auto"/>
            </w:tcBorders>
            <w:tcMar>
              <w:top w:w="10" w:type="dxa"/>
              <w:left w:w="10" w:type="dxa"/>
              <w:bottom w:w="0" w:type="dxa"/>
              <w:right w:w="10" w:type="dxa"/>
            </w:tcMar>
            <w:vAlign w:val="center"/>
          </w:tcPr>
          <w:p w14:paraId="10E6846C"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672ECA9"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授予学位人数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1EE0FE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4E4B1D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r>
      <w:tr w:rsidR="00AB51C8" w14:paraId="5E1B1FCD" w14:textId="77777777">
        <w:trPr>
          <w:trHeight w:val="113"/>
        </w:trPr>
        <w:tc>
          <w:tcPr>
            <w:tcW w:w="2405" w:type="dxa"/>
            <w:vMerge w:val="restart"/>
            <w:tcBorders>
              <w:top w:val="nil"/>
              <w:left w:val="single" w:sz="4" w:space="0" w:color="auto"/>
              <w:right w:val="single" w:sz="4" w:space="0" w:color="auto"/>
            </w:tcBorders>
            <w:vAlign w:val="center"/>
          </w:tcPr>
          <w:p w14:paraId="4E95BC4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能源环境经济与政策</w:t>
            </w: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1654749"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研究生招生人数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056CA4A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3F521B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r>
      <w:tr w:rsidR="00AB51C8" w14:paraId="08735E03" w14:textId="77777777">
        <w:trPr>
          <w:trHeight w:val="113"/>
        </w:trPr>
        <w:tc>
          <w:tcPr>
            <w:tcW w:w="2405" w:type="dxa"/>
            <w:vMerge/>
            <w:tcBorders>
              <w:top w:val="nil"/>
              <w:left w:val="single" w:sz="4" w:space="0" w:color="auto"/>
              <w:bottom w:val="single" w:sz="4" w:space="0" w:color="auto"/>
              <w:right w:val="single" w:sz="4" w:space="0" w:color="auto"/>
            </w:tcBorders>
            <w:vAlign w:val="center"/>
          </w:tcPr>
          <w:p w14:paraId="519FEFC3"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7FBDE214" w14:textId="77777777" w:rsidR="00AB51C8" w:rsidRDefault="00000000">
            <w:pPr>
              <w:pStyle w:val="15"/>
              <w:adjustRightInd w:val="0"/>
              <w:snapToGrid w:val="0"/>
              <w:ind w:firstLine="480"/>
              <w:jc w:val="both"/>
              <w:rPr>
                <w:rFonts w:ascii="Times New Roman" w:eastAsia="仿宋_GB2312" w:hAnsi="Times New Roman" w:cs="Times New Roman"/>
              </w:rPr>
            </w:pPr>
            <w:r>
              <w:rPr>
                <w:rFonts w:ascii="Times New Roman" w:eastAsia="仿宋_GB2312" w:hAnsi="Times New Roman" w:cs="Times New Roman"/>
              </w:rPr>
              <w:t>其中：全日制招生人数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2971C1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A1D7DE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r>
      <w:tr w:rsidR="00AB51C8" w14:paraId="4E7F70DE" w14:textId="77777777">
        <w:trPr>
          <w:trHeight w:val="113"/>
        </w:trPr>
        <w:tc>
          <w:tcPr>
            <w:tcW w:w="2405" w:type="dxa"/>
            <w:vMerge/>
            <w:tcBorders>
              <w:top w:val="nil"/>
              <w:left w:val="single" w:sz="4" w:space="0" w:color="auto"/>
              <w:bottom w:val="single" w:sz="4" w:space="0" w:color="auto"/>
              <w:right w:val="single" w:sz="4" w:space="0" w:color="auto"/>
            </w:tcBorders>
            <w:vAlign w:val="center"/>
          </w:tcPr>
          <w:p w14:paraId="4CEA45D2"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28573FC" w14:textId="77777777" w:rsidR="00AB51C8" w:rsidRDefault="00000000">
            <w:pPr>
              <w:pStyle w:val="15"/>
              <w:adjustRightInd w:val="0"/>
              <w:snapToGrid w:val="0"/>
              <w:ind w:firstLineChars="500" w:firstLine="1200"/>
              <w:jc w:val="both"/>
              <w:rPr>
                <w:rFonts w:ascii="Times New Roman" w:eastAsia="仿宋_GB2312" w:hAnsi="Times New Roman" w:cs="Times New Roman"/>
              </w:rPr>
            </w:pPr>
            <w:r>
              <w:rPr>
                <w:rFonts w:ascii="Times New Roman" w:eastAsia="仿宋_GB2312" w:hAnsi="Times New Roman" w:cs="Times New Roman"/>
              </w:rPr>
              <w:t>非全日制招生人数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4BF7D8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140D02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r>
      <w:tr w:rsidR="00AB51C8" w14:paraId="3EB0ECB1" w14:textId="77777777">
        <w:trPr>
          <w:trHeight w:val="113"/>
        </w:trPr>
        <w:tc>
          <w:tcPr>
            <w:tcW w:w="2405" w:type="dxa"/>
            <w:vMerge/>
            <w:tcBorders>
              <w:top w:val="nil"/>
              <w:left w:val="single" w:sz="4" w:space="0" w:color="auto"/>
              <w:bottom w:val="single" w:sz="4" w:space="0" w:color="auto"/>
              <w:right w:val="single" w:sz="4" w:space="0" w:color="auto"/>
            </w:tcBorders>
            <w:vAlign w:val="center"/>
          </w:tcPr>
          <w:p w14:paraId="0A19CDAB"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AF3C482"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招录学生中</w:t>
            </w:r>
            <w:proofErr w:type="gramStart"/>
            <w:r>
              <w:rPr>
                <w:rFonts w:ascii="Times New Roman" w:eastAsia="仿宋_GB2312" w:hAnsi="Times New Roman" w:cs="Times New Roman"/>
              </w:rPr>
              <w:t>本科推免生人</w:t>
            </w:r>
            <w:proofErr w:type="gramEnd"/>
            <w:r>
              <w:rPr>
                <w:rFonts w:ascii="Times New Roman" w:eastAsia="仿宋_GB2312" w:hAnsi="Times New Roman" w:cs="Times New Roman"/>
              </w:rPr>
              <w:t>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4C6693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ABF79D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0</w:t>
            </w:r>
          </w:p>
        </w:tc>
      </w:tr>
      <w:tr w:rsidR="00AB51C8" w14:paraId="76FF967A" w14:textId="77777777">
        <w:trPr>
          <w:trHeight w:val="113"/>
        </w:trPr>
        <w:tc>
          <w:tcPr>
            <w:tcW w:w="2405" w:type="dxa"/>
            <w:vMerge/>
            <w:tcBorders>
              <w:top w:val="nil"/>
              <w:left w:val="single" w:sz="4" w:space="0" w:color="auto"/>
              <w:bottom w:val="single" w:sz="4" w:space="0" w:color="auto"/>
              <w:right w:val="single" w:sz="4" w:space="0" w:color="auto"/>
            </w:tcBorders>
            <w:vAlign w:val="center"/>
          </w:tcPr>
          <w:p w14:paraId="24750AC2"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92A80C1"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招录学生中普通招考人数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E9A428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EF6394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r>
      <w:tr w:rsidR="00AB51C8" w14:paraId="634A4B87" w14:textId="77777777">
        <w:trPr>
          <w:trHeight w:val="113"/>
        </w:trPr>
        <w:tc>
          <w:tcPr>
            <w:tcW w:w="2405" w:type="dxa"/>
            <w:vMerge/>
            <w:tcBorders>
              <w:top w:val="nil"/>
              <w:left w:val="single" w:sz="4" w:space="0" w:color="auto"/>
              <w:bottom w:val="single" w:sz="4" w:space="0" w:color="auto"/>
              <w:right w:val="single" w:sz="4" w:space="0" w:color="auto"/>
            </w:tcBorders>
            <w:vAlign w:val="center"/>
          </w:tcPr>
          <w:p w14:paraId="463CD01D" w14:textId="77777777" w:rsidR="00AB51C8" w:rsidRDefault="00AB51C8">
            <w:pPr>
              <w:pStyle w:val="15"/>
              <w:adjustRightInd w:val="0"/>
              <w:snapToGrid w:val="0"/>
              <w:ind w:firstLineChars="0" w:firstLine="0"/>
              <w:jc w:val="center"/>
              <w:rPr>
                <w:rFonts w:ascii="Times New Roman" w:eastAsia="仿宋_GB2312" w:hAnsi="Times New Roman" w:cs="Times New Roman"/>
              </w:rPr>
            </w:pPr>
          </w:p>
        </w:tc>
        <w:tc>
          <w:tcPr>
            <w:tcW w:w="340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608C3E0" w14:textId="77777777" w:rsidR="00AB51C8" w:rsidRDefault="00000000">
            <w:pPr>
              <w:pStyle w:val="15"/>
              <w:adjustRightInd w:val="0"/>
              <w:snapToGrid w:val="0"/>
              <w:ind w:firstLineChars="0" w:firstLine="0"/>
              <w:jc w:val="both"/>
              <w:rPr>
                <w:rFonts w:ascii="Times New Roman" w:eastAsia="仿宋_GB2312" w:hAnsi="Times New Roman" w:cs="Times New Roman"/>
              </w:rPr>
            </w:pPr>
            <w:r>
              <w:rPr>
                <w:rFonts w:ascii="Times New Roman" w:eastAsia="仿宋_GB2312" w:hAnsi="Times New Roman" w:cs="Times New Roman"/>
              </w:rPr>
              <w:t>授予学位人数</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94F2BF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10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D56501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r>
    </w:tbl>
    <w:p w14:paraId="34407274"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目前在校研究生共</w:t>
      </w:r>
      <w:r>
        <w:rPr>
          <w:rFonts w:eastAsia="仿宋_GB2312" w:cs="Times New Roman"/>
          <w:sz w:val="32"/>
          <w:szCs w:val="32"/>
        </w:rPr>
        <w:t>16</w:t>
      </w:r>
      <w:r>
        <w:rPr>
          <w:rFonts w:eastAsia="仿宋_GB2312" w:cs="Times New Roman"/>
          <w:sz w:val="32"/>
          <w:szCs w:val="32"/>
        </w:rPr>
        <w:t>人，其中包括</w:t>
      </w:r>
      <w:r>
        <w:rPr>
          <w:rFonts w:eastAsia="仿宋_GB2312" w:cs="Times New Roman"/>
          <w:sz w:val="32"/>
          <w:szCs w:val="32"/>
        </w:rPr>
        <w:t>2019</w:t>
      </w:r>
      <w:r>
        <w:rPr>
          <w:rFonts w:eastAsia="仿宋_GB2312" w:cs="Times New Roman"/>
          <w:sz w:val="32"/>
          <w:szCs w:val="32"/>
        </w:rPr>
        <w:t>级</w:t>
      </w:r>
      <w:r>
        <w:rPr>
          <w:rFonts w:eastAsia="仿宋_GB2312" w:cs="Times New Roman"/>
          <w:sz w:val="32"/>
          <w:szCs w:val="32"/>
        </w:rPr>
        <w:t>4</w:t>
      </w:r>
      <w:r>
        <w:rPr>
          <w:rFonts w:eastAsia="仿宋_GB2312" w:cs="Times New Roman"/>
          <w:sz w:val="32"/>
          <w:szCs w:val="32"/>
        </w:rPr>
        <w:t>人、</w:t>
      </w:r>
      <w:r>
        <w:rPr>
          <w:rFonts w:eastAsia="仿宋_GB2312" w:cs="Times New Roman"/>
          <w:sz w:val="32"/>
          <w:szCs w:val="32"/>
        </w:rPr>
        <w:t>2020</w:t>
      </w:r>
      <w:r>
        <w:rPr>
          <w:rFonts w:eastAsia="仿宋_GB2312" w:cs="Times New Roman"/>
          <w:sz w:val="32"/>
          <w:szCs w:val="32"/>
        </w:rPr>
        <w:t>级</w:t>
      </w:r>
      <w:r>
        <w:rPr>
          <w:rFonts w:eastAsia="仿宋_GB2312" w:cs="Times New Roman"/>
          <w:sz w:val="32"/>
          <w:szCs w:val="32"/>
        </w:rPr>
        <w:t>7</w:t>
      </w:r>
      <w:r>
        <w:rPr>
          <w:rFonts w:eastAsia="仿宋_GB2312" w:cs="Times New Roman"/>
          <w:sz w:val="32"/>
          <w:szCs w:val="32"/>
        </w:rPr>
        <w:t>人和</w:t>
      </w:r>
      <w:r>
        <w:rPr>
          <w:rFonts w:eastAsia="仿宋_GB2312" w:cs="Times New Roman"/>
          <w:sz w:val="32"/>
          <w:szCs w:val="32"/>
        </w:rPr>
        <w:t>2021</w:t>
      </w:r>
      <w:r>
        <w:rPr>
          <w:rFonts w:eastAsia="仿宋_GB2312" w:cs="Times New Roman"/>
          <w:sz w:val="32"/>
          <w:szCs w:val="32"/>
        </w:rPr>
        <w:t>级</w:t>
      </w:r>
      <w:r>
        <w:rPr>
          <w:rFonts w:eastAsia="仿宋_GB2312" w:cs="Times New Roman"/>
          <w:sz w:val="32"/>
          <w:szCs w:val="32"/>
        </w:rPr>
        <w:t>5</w:t>
      </w:r>
      <w:r>
        <w:rPr>
          <w:rFonts w:eastAsia="仿宋_GB2312" w:cs="Times New Roman"/>
          <w:sz w:val="32"/>
          <w:szCs w:val="32"/>
        </w:rPr>
        <w:t>人。</w:t>
      </w:r>
    </w:p>
    <w:p w14:paraId="2773A203" w14:textId="77777777" w:rsidR="00AB51C8" w:rsidRDefault="00000000">
      <w:pPr>
        <w:pStyle w:val="21"/>
        <w:spacing w:line="560" w:lineRule="exact"/>
        <w:ind w:firstLineChars="200" w:firstLine="640"/>
        <w:rPr>
          <w:rFonts w:ascii="楷体_GB2312" w:eastAsia="楷体_GB2312"/>
          <w:sz w:val="32"/>
          <w:szCs w:val="32"/>
        </w:rPr>
      </w:pPr>
      <w:bookmarkStart w:id="6" w:name="_Toc101773632"/>
      <w:r>
        <w:rPr>
          <w:rFonts w:ascii="楷体_GB2312" w:eastAsia="楷体_GB2312" w:hint="eastAsia"/>
          <w:sz w:val="32"/>
          <w:szCs w:val="32"/>
        </w:rPr>
        <w:t>（三）研究生毕业及就业状况</w:t>
      </w:r>
      <w:bookmarkEnd w:id="6"/>
    </w:p>
    <w:p w14:paraId="1A1B06B6"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本学位点</w:t>
      </w:r>
      <w:r>
        <w:rPr>
          <w:rFonts w:eastAsia="仿宋_GB2312" w:cs="Times New Roman"/>
          <w:sz w:val="32"/>
          <w:szCs w:val="32"/>
        </w:rPr>
        <w:t>2020</w:t>
      </w:r>
      <w:r>
        <w:rPr>
          <w:rFonts w:eastAsia="仿宋_GB2312" w:cs="Times New Roman"/>
          <w:sz w:val="32"/>
          <w:szCs w:val="32"/>
        </w:rPr>
        <w:t>年毕业</w:t>
      </w:r>
      <w:r>
        <w:rPr>
          <w:rFonts w:eastAsia="仿宋_GB2312" w:cs="Times New Roman"/>
          <w:sz w:val="32"/>
          <w:szCs w:val="32"/>
        </w:rPr>
        <w:t>1</w:t>
      </w:r>
      <w:r>
        <w:rPr>
          <w:rFonts w:eastAsia="仿宋_GB2312" w:cs="Times New Roman"/>
          <w:sz w:val="32"/>
          <w:szCs w:val="32"/>
        </w:rPr>
        <w:t>人，签约民营企业；</w:t>
      </w:r>
      <w:r>
        <w:rPr>
          <w:rFonts w:eastAsia="仿宋_GB2312" w:cs="Times New Roman"/>
          <w:sz w:val="32"/>
          <w:szCs w:val="32"/>
        </w:rPr>
        <w:t>2021</w:t>
      </w:r>
      <w:r>
        <w:rPr>
          <w:rFonts w:eastAsia="仿宋_GB2312" w:cs="Times New Roman"/>
          <w:sz w:val="32"/>
          <w:szCs w:val="32"/>
        </w:rPr>
        <w:t>年毕业生人数为</w:t>
      </w:r>
      <w:r>
        <w:rPr>
          <w:rFonts w:eastAsia="仿宋_GB2312" w:cs="Times New Roman"/>
          <w:sz w:val="32"/>
          <w:szCs w:val="32"/>
        </w:rPr>
        <w:t>3</w:t>
      </w:r>
      <w:r>
        <w:rPr>
          <w:rFonts w:eastAsia="仿宋_GB2312" w:cs="Times New Roman"/>
          <w:sz w:val="32"/>
          <w:szCs w:val="32"/>
        </w:rPr>
        <w:t>人，其中</w:t>
      </w:r>
      <w:r>
        <w:rPr>
          <w:rFonts w:eastAsia="仿宋_GB2312" w:cs="Times New Roman"/>
          <w:sz w:val="32"/>
          <w:szCs w:val="32"/>
        </w:rPr>
        <w:t>1</w:t>
      </w:r>
      <w:r>
        <w:rPr>
          <w:rFonts w:eastAsia="仿宋_GB2312" w:cs="Times New Roman"/>
          <w:sz w:val="32"/>
          <w:szCs w:val="32"/>
        </w:rPr>
        <w:t>人去往</w:t>
      </w:r>
      <w:proofErr w:type="gramStart"/>
      <w:r>
        <w:rPr>
          <w:rFonts w:eastAsia="仿宋_GB2312" w:cs="Times New Roman"/>
          <w:sz w:val="32"/>
          <w:szCs w:val="32"/>
        </w:rPr>
        <w:t>党政级关</w:t>
      </w:r>
      <w:proofErr w:type="gramEnd"/>
      <w:r>
        <w:rPr>
          <w:rFonts w:eastAsia="仿宋_GB2312" w:cs="Times New Roman"/>
          <w:sz w:val="32"/>
          <w:szCs w:val="32"/>
        </w:rPr>
        <w:t>1</w:t>
      </w:r>
      <w:r>
        <w:rPr>
          <w:rFonts w:eastAsia="仿宋_GB2312" w:cs="Times New Roman"/>
          <w:sz w:val="32"/>
          <w:szCs w:val="32"/>
        </w:rPr>
        <w:t>人、升学</w:t>
      </w:r>
      <w:r>
        <w:rPr>
          <w:rFonts w:eastAsia="仿宋_GB2312" w:cs="Times New Roman"/>
          <w:sz w:val="32"/>
          <w:szCs w:val="32"/>
        </w:rPr>
        <w:t>1</w:t>
      </w:r>
      <w:r>
        <w:rPr>
          <w:rFonts w:eastAsia="仿宋_GB2312" w:cs="Times New Roman"/>
          <w:sz w:val="32"/>
          <w:szCs w:val="32"/>
        </w:rPr>
        <w:t>人。</w:t>
      </w:r>
    </w:p>
    <w:p w14:paraId="19DD41BF" w14:textId="77777777" w:rsidR="00AB51C8" w:rsidRDefault="00000000">
      <w:pPr>
        <w:pStyle w:val="21"/>
        <w:spacing w:line="560" w:lineRule="exact"/>
        <w:ind w:firstLineChars="200" w:firstLine="640"/>
        <w:rPr>
          <w:rFonts w:ascii="楷体_GB2312" w:eastAsia="楷体_GB2312"/>
          <w:sz w:val="32"/>
          <w:szCs w:val="32"/>
        </w:rPr>
      </w:pPr>
      <w:bookmarkStart w:id="7" w:name="_Toc101773633"/>
      <w:r>
        <w:rPr>
          <w:rFonts w:ascii="楷体_GB2312" w:eastAsia="楷体_GB2312" w:hint="eastAsia"/>
          <w:sz w:val="32"/>
          <w:szCs w:val="32"/>
        </w:rPr>
        <w:t>（四）研究生导师状况</w:t>
      </w:r>
      <w:bookmarkEnd w:id="7"/>
    </w:p>
    <w:p w14:paraId="582FF6C1"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本学科授权</w:t>
      </w:r>
      <w:proofErr w:type="gramStart"/>
      <w:r>
        <w:rPr>
          <w:rFonts w:eastAsia="仿宋_GB2312" w:cs="Times New Roman"/>
          <w:sz w:val="32"/>
          <w:szCs w:val="32"/>
        </w:rPr>
        <w:t>点拥有</w:t>
      </w:r>
      <w:proofErr w:type="gramEnd"/>
      <w:r>
        <w:rPr>
          <w:rFonts w:eastAsia="仿宋_GB2312" w:cs="Times New Roman"/>
          <w:sz w:val="32"/>
          <w:szCs w:val="32"/>
        </w:rPr>
        <w:t>一支老中青结合、专业特色鲜明、富有创新精神的专任师资队伍。现有硕士生导师共</w:t>
      </w:r>
      <w:r>
        <w:rPr>
          <w:rFonts w:eastAsia="仿宋_GB2312" w:cs="Times New Roman"/>
          <w:sz w:val="32"/>
          <w:szCs w:val="32"/>
        </w:rPr>
        <w:t>16</w:t>
      </w:r>
      <w:r>
        <w:rPr>
          <w:rFonts w:eastAsia="仿宋_GB2312" w:cs="Times New Roman"/>
          <w:sz w:val="32"/>
          <w:szCs w:val="32"/>
        </w:rPr>
        <w:t>人，其中中国工程院院士</w:t>
      </w:r>
      <w:r>
        <w:rPr>
          <w:rFonts w:eastAsia="仿宋_GB2312" w:cs="Times New Roman"/>
          <w:sz w:val="32"/>
          <w:szCs w:val="32"/>
        </w:rPr>
        <w:t>1</w:t>
      </w:r>
      <w:r>
        <w:rPr>
          <w:rFonts w:eastAsia="仿宋_GB2312" w:cs="Times New Roman"/>
          <w:sz w:val="32"/>
          <w:szCs w:val="32"/>
        </w:rPr>
        <w:t>名、生态环境部</w:t>
      </w:r>
      <w:r>
        <w:rPr>
          <w:rFonts w:eastAsia="仿宋_GB2312" w:cs="Times New Roman"/>
          <w:sz w:val="32"/>
          <w:szCs w:val="32"/>
        </w:rPr>
        <w:t>“</w:t>
      </w:r>
      <w:r>
        <w:rPr>
          <w:rFonts w:eastAsia="仿宋_GB2312" w:cs="Times New Roman"/>
          <w:sz w:val="32"/>
          <w:szCs w:val="32"/>
        </w:rPr>
        <w:t>环境保护专业技术领军人才</w:t>
      </w:r>
      <w:r>
        <w:rPr>
          <w:rFonts w:eastAsia="仿宋_GB2312" w:cs="Times New Roman"/>
          <w:sz w:val="32"/>
          <w:szCs w:val="32"/>
        </w:rPr>
        <w:t>”1</w:t>
      </w:r>
      <w:r>
        <w:rPr>
          <w:rFonts w:eastAsia="仿宋_GB2312" w:cs="Times New Roman"/>
          <w:sz w:val="32"/>
          <w:szCs w:val="32"/>
        </w:rPr>
        <w:t>名；正高级职称的教师</w:t>
      </w:r>
      <w:r>
        <w:rPr>
          <w:rFonts w:eastAsia="仿宋_GB2312" w:cs="Times New Roman"/>
          <w:sz w:val="32"/>
          <w:szCs w:val="32"/>
        </w:rPr>
        <w:t>11</w:t>
      </w:r>
      <w:r>
        <w:rPr>
          <w:rFonts w:eastAsia="仿宋_GB2312" w:cs="Times New Roman"/>
          <w:sz w:val="32"/>
          <w:szCs w:val="32"/>
        </w:rPr>
        <w:t>人，拥有副高级职称的教师</w:t>
      </w:r>
      <w:r>
        <w:rPr>
          <w:rFonts w:eastAsia="仿宋_GB2312" w:cs="Times New Roman"/>
          <w:sz w:val="32"/>
          <w:szCs w:val="32"/>
        </w:rPr>
        <w:t>5</w:t>
      </w:r>
      <w:r>
        <w:rPr>
          <w:rFonts w:eastAsia="仿宋_GB2312" w:cs="Times New Roman"/>
          <w:sz w:val="32"/>
          <w:szCs w:val="32"/>
        </w:rPr>
        <w:t>人（详见</w:t>
      </w:r>
      <w:r>
        <w:rPr>
          <w:rFonts w:eastAsia="仿宋_GB2312" w:cs="Times New Roman"/>
          <w:sz w:val="32"/>
          <w:szCs w:val="32"/>
        </w:rPr>
        <w:fldChar w:fldCharType="begin"/>
      </w:r>
      <w:r>
        <w:rPr>
          <w:rFonts w:eastAsia="仿宋_GB2312" w:cs="Times New Roman"/>
          <w:sz w:val="32"/>
          <w:szCs w:val="32"/>
        </w:rPr>
        <w:instrText xml:space="preserve"> REF _Ref101769386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sz w:val="32"/>
          <w:szCs w:val="32"/>
        </w:rPr>
        <w:t>表</w:t>
      </w:r>
      <w:r>
        <w:rPr>
          <w:rFonts w:eastAsia="仿宋_GB2312" w:cs="Times New Roman"/>
          <w:sz w:val="32"/>
          <w:szCs w:val="32"/>
        </w:rPr>
        <w:t xml:space="preserve"> 2</w:t>
      </w:r>
      <w:r>
        <w:rPr>
          <w:rFonts w:eastAsia="仿宋_GB2312" w:cs="Times New Roman"/>
          <w:sz w:val="32"/>
          <w:szCs w:val="32"/>
        </w:rPr>
        <w:fldChar w:fldCharType="end"/>
      </w:r>
      <w:r>
        <w:rPr>
          <w:rFonts w:eastAsia="仿宋_GB2312" w:cs="Times New Roman"/>
          <w:sz w:val="32"/>
          <w:szCs w:val="32"/>
        </w:rPr>
        <w:t>）；在</w:t>
      </w:r>
      <w:proofErr w:type="gramStart"/>
      <w:r>
        <w:rPr>
          <w:rFonts w:eastAsia="仿宋_GB2312" w:cs="Times New Roman"/>
          <w:sz w:val="32"/>
          <w:szCs w:val="32"/>
        </w:rPr>
        <w:t>统考察</w:t>
      </w:r>
      <w:proofErr w:type="gramEnd"/>
      <w:r>
        <w:rPr>
          <w:rFonts w:eastAsia="仿宋_GB2312" w:cs="Times New Roman"/>
          <w:sz w:val="32"/>
          <w:szCs w:val="32"/>
        </w:rPr>
        <w:t>期内主持国家级重点项目</w:t>
      </w:r>
      <w:r>
        <w:rPr>
          <w:rFonts w:eastAsia="仿宋_GB2312" w:cs="Times New Roman"/>
          <w:sz w:val="32"/>
          <w:szCs w:val="32"/>
        </w:rPr>
        <w:t>7</w:t>
      </w:r>
      <w:r>
        <w:rPr>
          <w:rFonts w:eastAsia="仿宋_GB2312" w:cs="Times New Roman"/>
          <w:sz w:val="32"/>
          <w:szCs w:val="32"/>
        </w:rPr>
        <w:t>项（详见</w:t>
      </w:r>
      <w:r>
        <w:rPr>
          <w:rFonts w:eastAsia="仿宋_GB2312" w:cs="Times New Roman"/>
          <w:sz w:val="32"/>
          <w:szCs w:val="32"/>
        </w:rPr>
        <w:fldChar w:fldCharType="begin"/>
      </w:r>
      <w:r>
        <w:rPr>
          <w:rFonts w:eastAsia="仿宋_GB2312" w:cs="Times New Roman"/>
          <w:sz w:val="32"/>
          <w:szCs w:val="32"/>
        </w:rPr>
        <w:instrText xml:space="preserve"> REF _Ref101769396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sz w:val="32"/>
          <w:szCs w:val="32"/>
        </w:rPr>
        <w:t>表</w:t>
      </w:r>
      <w:r>
        <w:rPr>
          <w:rFonts w:eastAsia="仿宋_GB2312" w:cs="Times New Roman"/>
          <w:sz w:val="32"/>
          <w:szCs w:val="32"/>
        </w:rPr>
        <w:t xml:space="preserve"> 3</w:t>
      </w:r>
      <w:r>
        <w:rPr>
          <w:rFonts w:eastAsia="仿宋_GB2312" w:cs="Times New Roman"/>
          <w:sz w:val="32"/>
          <w:szCs w:val="32"/>
        </w:rPr>
        <w:fldChar w:fldCharType="end"/>
      </w:r>
      <w:r>
        <w:rPr>
          <w:rFonts w:eastAsia="仿宋_GB2312" w:cs="Times New Roman"/>
          <w:sz w:val="32"/>
          <w:szCs w:val="32"/>
        </w:rPr>
        <w:t>），获得国内外奖项十余项（</w:t>
      </w:r>
      <w:r>
        <w:rPr>
          <w:rFonts w:eastAsia="仿宋_GB2312" w:cs="Times New Roman"/>
          <w:sz w:val="32"/>
          <w:szCs w:val="32"/>
        </w:rPr>
        <w:fldChar w:fldCharType="begin"/>
      </w:r>
      <w:r>
        <w:rPr>
          <w:rFonts w:eastAsia="仿宋_GB2312" w:cs="Times New Roman"/>
          <w:sz w:val="32"/>
          <w:szCs w:val="32"/>
        </w:rPr>
        <w:instrText xml:space="preserve"> REF _Ref101769405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sz w:val="32"/>
          <w:szCs w:val="32"/>
        </w:rPr>
        <w:t>表</w:t>
      </w:r>
      <w:r>
        <w:rPr>
          <w:rFonts w:eastAsia="仿宋_GB2312" w:cs="Times New Roman"/>
          <w:sz w:val="32"/>
          <w:szCs w:val="32"/>
        </w:rPr>
        <w:t xml:space="preserve"> 4</w:t>
      </w:r>
      <w:r>
        <w:rPr>
          <w:rFonts w:eastAsia="仿宋_GB2312" w:cs="Times New Roman"/>
          <w:sz w:val="32"/>
          <w:szCs w:val="32"/>
        </w:rPr>
        <w:fldChar w:fldCharType="end"/>
      </w:r>
      <w:r>
        <w:rPr>
          <w:rFonts w:eastAsia="仿宋_GB2312" w:cs="Times New Roman"/>
          <w:sz w:val="32"/>
          <w:szCs w:val="32"/>
        </w:rPr>
        <w:t>），发表论文五十余篇（详见</w:t>
      </w:r>
      <w:r>
        <w:rPr>
          <w:rFonts w:eastAsia="仿宋_GB2312" w:cs="Times New Roman"/>
          <w:sz w:val="32"/>
          <w:szCs w:val="32"/>
        </w:rPr>
        <w:fldChar w:fldCharType="begin"/>
      </w:r>
      <w:r>
        <w:rPr>
          <w:rFonts w:eastAsia="仿宋_GB2312" w:cs="Times New Roman"/>
          <w:sz w:val="32"/>
          <w:szCs w:val="32"/>
        </w:rPr>
        <w:instrText xml:space="preserve"> REF _Ref101769419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sz w:val="32"/>
          <w:szCs w:val="32"/>
        </w:rPr>
        <w:t>表</w:t>
      </w:r>
      <w:r>
        <w:rPr>
          <w:rFonts w:eastAsia="仿宋_GB2312" w:cs="Times New Roman"/>
          <w:sz w:val="32"/>
          <w:szCs w:val="32"/>
        </w:rPr>
        <w:t xml:space="preserve"> 5</w:t>
      </w:r>
      <w:r>
        <w:rPr>
          <w:rFonts w:eastAsia="仿宋_GB2312" w:cs="Times New Roman"/>
          <w:sz w:val="32"/>
          <w:szCs w:val="32"/>
        </w:rPr>
        <w:fldChar w:fldCharType="end"/>
      </w:r>
      <w:r>
        <w:rPr>
          <w:rFonts w:eastAsia="仿宋_GB2312" w:cs="Times New Roman"/>
          <w:sz w:val="32"/>
          <w:szCs w:val="32"/>
        </w:rPr>
        <w:t>）。</w:t>
      </w:r>
      <w:r>
        <w:rPr>
          <w:rFonts w:eastAsia="仿宋_GB2312" w:cs="Times New Roman"/>
          <w:sz w:val="32"/>
          <w:szCs w:val="32"/>
        </w:rPr>
        <w:t>2020</w:t>
      </w:r>
      <w:r>
        <w:rPr>
          <w:rFonts w:eastAsia="仿宋_GB2312" w:cs="Times New Roman"/>
          <w:sz w:val="32"/>
          <w:szCs w:val="32"/>
        </w:rPr>
        <w:t>年到院纵向科研经费共计</w:t>
      </w:r>
      <w:r>
        <w:rPr>
          <w:rFonts w:eastAsia="仿宋_GB2312" w:cs="Times New Roman"/>
          <w:sz w:val="32"/>
          <w:szCs w:val="32"/>
        </w:rPr>
        <w:t>1353</w:t>
      </w:r>
      <w:r>
        <w:rPr>
          <w:rFonts w:eastAsia="仿宋_GB2312" w:cs="Times New Roman"/>
          <w:sz w:val="32"/>
          <w:szCs w:val="32"/>
        </w:rPr>
        <w:t>万元、横向科研经费</w:t>
      </w:r>
      <w:r>
        <w:rPr>
          <w:rFonts w:eastAsia="仿宋_GB2312" w:cs="Times New Roman"/>
          <w:sz w:val="32"/>
          <w:szCs w:val="32"/>
        </w:rPr>
        <w:t>902</w:t>
      </w:r>
      <w:r>
        <w:rPr>
          <w:rFonts w:eastAsia="仿宋_GB2312" w:cs="Times New Roman"/>
          <w:sz w:val="32"/>
          <w:szCs w:val="32"/>
        </w:rPr>
        <w:t>万元，平均每位在校研究生科研经费</w:t>
      </w:r>
      <w:r>
        <w:rPr>
          <w:rFonts w:eastAsia="仿宋_GB2312" w:cs="Times New Roman"/>
          <w:sz w:val="32"/>
          <w:szCs w:val="32"/>
        </w:rPr>
        <w:t>140</w:t>
      </w:r>
      <w:r>
        <w:rPr>
          <w:rFonts w:eastAsia="仿宋_GB2312" w:cs="Times New Roman"/>
          <w:sz w:val="32"/>
          <w:szCs w:val="32"/>
        </w:rPr>
        <w:t>万元；</w:t>
      </w:r>
      <w:r>
        <w:rPr>
          <w:rFonts w:eastAsia="仿宋_GB2312" w:cs="Times New Roman"/>
          <w:sz w:val="32"/>
          <w:szCs w:val="32"/>
        </w:rPr>
        <w:t>2021</w:t>
      </w:r>
      <w:r>
        <w:rPr>
          <w:rFonts w:eastAsia="仿宋_GB2312" w:cs="Times New Roman"/>
          <w:sz w:val="32"/>
          <w:szCs w:val="32"/>
        </w:rPr>
        <w:t>年到院纵向科研经费共计</w:t>
      </w:r>
      <w:r>
        <w:rPr>
          <w:rFonts w:eastAsia="仿宋_GB2312" w:cs="Times New Roman"/>
          <w:sz w:val="32"/>
          <w:szCs w:val="32"/>
        </w:rPr>
        <w:t>427</w:t>
      </w:r>
      <w:r>
        <w:rPr>
          <w:rFonts w:eastAsia="仿宋_GB2312" w:cs="Times New Roman"/>
          <w:sz w:val="32"/>
          <w:szCs w:val="32"/>
        </w:rPr>
        <w:t>万元，纵向科研经费</w:t>
      </w:r>
      <w:r>
        <w:rPr>
          <w:rFonts w:eastAsia="仿宋_GB2312" w:cs="Times New Roman"/>
          <w:sz w:val="32"/>
          <w:szCs w:val="32"/>
        </w:rPr>
        <w:t>2370</w:t>
      </w:r>
      <w:r>
        <w:rPr>
          <w:rFonts w:eastAsia="仿宋_GB2312" w:cs="Times New Roman"/>
          <w:sz w:val="32"/>
          <w:szCs w:val="32"/>
        </w:rPr>
        <w:t>万元，平均每位在校研究生科研经费</w:t>
      </w:r>
      <w:r>
        <w:rPr>
          <w:rFonts w:eastAsia="仿宋_GB2312" w:cs="Times New Roman"/>
          <w:sz w:val="32"/>
          <w:szCs w:val="32"/>
        </w:rPr>
        <w:t>175</w:t>
      </w:r>
      <w:r>
        <w:rPr>
          <w:rFonts w:eastAsia="仿宋_GB2312" w:cs="Times New Roman"/>
          <w:sz w:val="32"/>
          <w:szCs w:val="32"/>
        </w:rPr>
        <w:t>万元。</w:t>
      </w:r>
    </w:p>
    <w:p w14:paraId="431A370F" w14:textId="77777777" w:rsidR="00AB51C8" w:rsidRDefault="00000000">
      <w:pPr>
        <w:pStyle w:val="a5"/>
        <w:rPr>
          <w:rFonts w:eastAsia="仿宋_GB2312" w:cs="Times New Roman"/>
          <w:b/>
          <w:sz w:val="28"/>
          <w:szCs w:val="28"/>
        </w:rPr>
      </w:pPr>
      <w:bookmarkStart w:id="8" w:name="_Ref101769386"/>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2</w:t>
      </w:r>
      <w:r>
        <w:rPr>
          <w:rFonts w:eastAsia="仿宋_GB2312" w:cs="Times New Roman"/>
          <w:b/>
          <w:sz w:val="28"/>
          <w:szCs w:val="28"/>
        </w:rPr>
        <w:fldChar w:fldCharType="end"/>
      </w:r>
      <w:bookmarkEnd w:id="8"/>
      <w:r>
        <w:rPr>
          <w:rFonts w:eastAsia="仿宋_GB2312" w:cs="Times New Roman"/>
          <w:b/>
          <w:sz w:val="28"/>
          <w:szCs w:val="28"/>
        </w:rPr>
        <w:t xml:space="preserve"> </w:t>
      </w:r>
      <w:r>
        <w:rPr>
          <w:rFonts w:eastAsia="仿宋_GB2312" w:cs="Times New Roman"/>
          <w:b/>
          <w:sz w:val="28"/>
          <w:szCs w:val="28"/>
        </w:rPr>
        <w:t>专任教师数量及结构</w:t>
      </w:r>
    </w:p>
    <w:tbl>
      <w:tblPr>
        <w:tblW w:w="8326" w:type="dxa"/>
        <w:tblLayout w:type="fixed"/>
        <w:tblCellMar>
          <w:left w:w="0" w:type="dxa"/>
          <w:right w:w="0" w:type="dxa"/>
        </w:tblCellMar>
        <w:tblLook w:val="04A0" w:firstRow="1" w:lastRow="0" w:firstColumn="1" w:lastColumn="0" w:noHBand="0" w:noVBand="1"/>
      </w:tblPr>
      <w:tblGrid>
        <w:gridCol w:w="942"/>
        <w:gridCol w:w="524"/>
        <w:gridCol w:w="664"/>
        <w:gridCol w:w="541"/>
        <w:gridCol w:w="531"/>
        <w:gridCol w:w="539"/>
        <w:gridCol w:w="655"/>
        <w:gridCol w:w="773"/>
        <w:gridCol w:w="773"/>
        <w:gridCol w:w="574"/>
        <w:gridCol w:w="1134"/>
        <w:gridCol w:w="676"/>
      </w:tblGrid>
      <w:tr w:rsidR="00AB51C8" w14:paraId="06C6C7BC" w14:textId="77777777">
        <w:trPr>
          <w:trHeight w:val="100"/>
        </w:trPr>
        <w:tc>
          <w:tcPr>
            <w:tcW w:w="942" w:type="dxa"/>
            <w:vMerge w:val="restart"/>
            <w:tcBorders>
              <w:top w:val="single" w:sz="4" w:space="0" w:color="000000"/>
              <w:left w:val="single" w:sz="4" w:space="0" w:color="000000"/>
              <w:right w:val="single" w:sz="4" w:space="0" w:color="000000"/>
            </w:tcBorders>
            <w:tcMar>
              <w:top w:w="10" w:type="dxa"/>
              <w:left w:w="10" w:type="dxa"/>
              <w:bottom w:w="0" w:type="dxa"/>
              <w:right w:w="10" w:type="dxa"/>
            </w:tcMar>
            <w:vAlign w:val="center"/>
          </w:tcPr>
          <w:p w14:paraId="5FBF185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专业技术职务</w:t>
            </w:r>
          </w:p>
        </w:tc>
        <w:tc>
          <w:tcPr>
            <w:tcW w:w="524" w:type="dxa"/>
            <w:vMerge w:val="restart"/>
            <w:tcBorders>
              <w:top w:val="single" w:sz="4" w:space="0" w:color="000000"/>
              <w:left w:val="nil"/>
              <w:right w:val="single" w:sz="4" w:space="0" w:color="000000"/>
            </w:tcBorders>
            <w:tcMar>
              <w:top w:w="10" w:type="dxa"/>
              <w:left w:w="10" w:type="dxa"/>
              <w:bottom w:w="0" w:type="dxa"/>
              <w:right w:w="10" w:type="dxa"/>
            </w:tcMar>
            <w:vAlign w:val="center"/>
          </w:tcPr>
          <w:p w14:paraId="4115659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人数合计</w:t>
            </w:r>
          </w:p>
        </w:tc>
        <w:tc>
          <w:tcPr>
            <w:tcW w:w="2930" w:type="dxa"/>
            <w:gridSpan w:val="5"/>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CE6731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年龄分布</w:t>
            </w:r>
          </w:p>
        </w:tc>
        <w:tc>
          <w:tcPr>
            <w:tcW w:w="1546"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FD95BF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学历结构</w:t>
            </w:r>
          </w:p>
        </w:tc>
        <w:tc>
          <w:tcPr>
            <w:tcW w:w="574" w:type="dxa"/>
            <w:vMerge w:val="restart"/>
            <w:tcBorders>
              <w:top w:val="single" w:sz="4" w:space="0" w:color="000000"/>
              <w:left w:val="nil"/>
              <w:right w:val="single" w:sz="4" w:space="0" w:color="000000"/>
            </w:tcBorders>
            <w:tcMar>
              <w:top w:w="10" w:type="dxa"/>
              <w:left w:w="10" w:type="dxa"/>
              <w:bottom w:w="0" w:type="dxa"/>
              <w:right w:w="10" w:type="dxa"/>
            </w:tcMar>
            <w:vAlign w:val="center"/>
          </w:tcPr>
          <w:p w14:paraId="30AB133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硕士导师人数</w:t>
            </w:r>
          </w:p>
        </w:tc>
        <w:tc>
          <w:tcPr>
            <w:tcW w:w="1134" w:type="dxa"/>
            <w:vMerge w:val="restart"/>
            <w:tcBorders>
              <w:top w:val="single" w:sz="4" w:space="0" w:color="000000"/>
              <w:left w:val="nil"/>
              <w:right w:val="single" w:sz="4" w:space="0" w:color="000000"/>
            </w:tcBorders>
            <w:tcMar>
              <w:top w:w="10" w:type="dxa"/>
              <w:left w:w="10" w:type="dxa"/>
              <w:bottom w:w="0" w:type="dxa"/>
              <w:right w:w="10" w:type="dxa"/>
            </w:tcMar>
            <w:vAlign w:val="center"/>
          </w:tcPr>
          <w:p w14:paraId="2E0BF23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最高学位非本单位授予的人数</w:t>
            </w:r>
          </w:p>
        </w:tc>
        <w:tc>
          <w:tcPr>
            <w:tcW w:w="676" w:type="dxa"/>
            <w:vMerge w:val="restart"/>
            <w:tcBorders>
              <w:top w:val="single" w:sz="4" w:space="0" w:color="000000"/>
              <w:left w:val="nil"/>
              <w:right w:val="single" w:sz="4" w:space="0" w:color="000000"/>
            </w:tcBorders>
            <w:tcMar>
              <w:top w:w="10" w:type="dxa"/>
              <w:left w:w="10" w:type="dxa"/>
              <w:bottom w:w="0" w:type="dxa"/>
              <w:right w:w="10" w:type="dxa"/>
            </w:tcMar>
            <w:vAlign w:val="center"/>
          </w:tcPr>
          <w:p w14:paraId="1B577F9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兼职</w:t>
            </w:r>
            <w:proofErr w:type="gramStart"/>
            <w:r>
              <w:rPr>
                <w:rFonts w:ascii="Times New Roman" w:eastAsia="仿宋_GB2312" w:hAnsi="Times New Roman" w:cs="Times New Roman"/>
                <w:bCs/>
              </w:rPr>
              <w:t>硕导人数</w:t>
            </w:r>
            <w:proofErr w:type="gramEnd"/>
          </w:p>
        </w:tc>
      </w:tr>
      <w:tr w:rsidR="00AB51C8" w14:paraId="526F7348" w14:textId="77777777">
        <w:trPr>
          <w:trHeight w:val="600"/>
        </w:trPr>
        <w:tc>
          <w:tcPr>
            <w:tcW w:w="942" w:type="dxa"/>
            <w:vMerge/>
            <w:tcBorders>
              <w:left w:val="single" w:sz="4" w:space="0" w:color="000000"/>
              <w:bottom w:val="single" w:sz="4" w:space="0" w:color="000000"/>
              <w:right w:val="single" w:sz="4" w:space="0" w:color="000000"/>
            </w:tcBorders>
            <w:tcMar>
              <w:top w:w="10" w:type="dxa"/>
              <w:left w:w="10" w:type="dxa"/>
              <w:bottom w:w="0" w:type="dxa"/>
              <w:right w:w="10" w:type="dxa"/>
            </w:tcMar>
            <w:vAlign w:val="center"/>
          </w:tcPr>
          <w:p w14:paraId="12E91ECA" w14:textId="77777777" w:rsidR="00AB51C8" w:rsidRDefault="00AB51C8">
            <w:pPr>
              <w:pStyle w:val="15"/>
              <w:adjustRightInd w:val="0"/>
              <w:snapToGrid w:val="0"/>
              <w:ind w:firstLineChars="0" w:firstLine="0"/>
              <w:jc w:val="center"/>
              <w:rPr>
                <w:rFonts w:ascii="Times New Roman" w:eastAsia="仿宋_GB2312" w:hAnsi="Times New Roman" w:cs="Times New Roman"/>
                <w:bCs/>
              </w:rPr>
            </w:pPr>
          </w:p>
        </w:tc>
        <w:tc>
          <w:tcPr>
            <w:tcW w:w="524" w:type="dxa"/>
            <w:vMerge/>
            <w:tcBorders>
              <w:left w:val="nil"/>
              <w:bottom w:val="single" w:sz="4" w:space="0" w:color="000000"/>
              <w:right w:val="single" w:sz="4" w:space="0" w:color="000000"/>
            </w:tcBorders>
            <w:tcMar>
              <w:top w:w="10" w:type="dxa"/>
              <w:left w:w="10" w:type="dxa"/>
              <w:bottom w:w="0" w:type="dxa"/>
              <w:right w:w="10" w:type="dxa"/>
            </w:tcMar>
            <w:vAlign w:val="center"/>
          </w:tcPr>
          <w:p w14:paraId="144ED44C" w14:textId="77777777" w:rsidR="00AB51C8" w:rsidRDefault="00AB51C8">
            <w:pPr>
              <w:pStyle w:val="15"/>
              <w:adjustRightInd w:val="0"/>
              <w:snapToGrid w:val="0"/>
              <w:ind w:firstLineChars="0" w:firstLine="0"/>
              <w:jc w:val="center"/>
              <w:rPr>
                <w:rFonts w:ascii="Times New Roman" w:eastAsia="仿宋_GB2312" w:hAnsi="Times New Roman" w:cs="Times New Roman"/>
                <w:bCs/>
              </w:rPr>
            </w:pPr>
          </w:p>
        </w:tc>
        <w:tc>
          <w:tcPr>
            <w:tcW w:w="66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F3321D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25</w:t>
            </w:r>
            <w:r>
              <w:rPr>
                <w:rFonts w:ascii="Times New Roman" w:eastAsia="仿宋_GB2312" w:hAnsi="Times New Roman" w:cs="Times New Roman"/>
                <w:bCs/>
              </w:rPr>
              <w:t>岁及以下</w:t>
            </w:r>
          </w:p>
        </w:tc>
        <w:tc>
          <w:tcPr>
            <w:tcW w:w="54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7A5A10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26</w:t>
            </w:r>
            <w:r>
              <w:rPr>
                <w:rFonts w:ascii="Times New Roman" w:eastAsia="仿宋_GB2312" w:hAnsi="Times New Roman" w:cs="Times New Roman"/>
                <w:bCs/>
              </w:rPr>
              <w:t>至</w:t>
            </w:r>
            <w:r>
              <w:rPr>
                <w:rFonts w:ascii="Times New Roman" w:eastAsia="仿宋_GB2312" w:hAnsi="Times New Roman" w:cs="Times New Roman"/>
                <w:bCs/>
              </w:rPr>
              <w:t>35</w:t>
            </w:r>
            <w:r>
              <w:rPr>
                <w:rFonts w:ascii="Times New Roman" w:eastAsia="仿宋_GB2312" w:hAnsi="Times New Roman" w:cs="Times New Roman"/>
                <w:bCs/>
              </w:rPr>
              <w:t>岁</w:t>
            </w:r>
          </w:p>
        </w:tc>
        <w:tc>
          <w:tcPr>
            <w:tcW w:w="53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81F495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36</w:t>
            </w:r>
            <w:r>
              <w:rPr>
                <w:rFonts w:ascii="Times New Roman" w:eastAsia="仿宋_GB2312" w:hAnsi="Times New Roman" w:cs="Times New Roman"/>
                <w:bCs/>
              </w:rPr>
              <w:t>至</w:t>
            </w:r>
            <w:r>
              <w:rPr>
                <w:rFonts w:ascii="Times New Roman" w:eastAsia="仿宋_GB2312" w:hAnsi="Times New Roman" w:cs="Times New Roman"/>
                <w:bCs/>
              </w:rPr>
              <w:t>45</w:t>
            </w:r>
            <w:r>
              <w:rPr>
                <w:rFonts w:ascii="Times New Roman" w:eastAsia="仿宋_GB2312" w:hAnsi="Times New Roman" w:cs="Times New Roman"/>
                <w:bCs/>
              </w:rPr>
              <w:t>岁</w:t>
            </w:r>
          </w:p>
        </w:tc>
        <w:tc>
          <w:tcPr>
            <w:tcW w:w="53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34C254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46</w:t>
            </w:r>
            <w:r>
              <w:rPr>
                <w:rFonts w:ascii="Times New Roman" w:eastAsia="仿宋_GB2312" w:hAnsi="Times New Roman" w:cs="Times New Roman"/>
                <w:bCs/>
              </w:rPr>
              <w:t>至</w:t>
            </w:r>
            <w:r>
              <w:rPr>
                <w:rFonts w:ascii="Times New Roman" w:eastAsia="仿宋_GB2312" w:hAnsi="Times New Roman" w:cs="Times New Roman"/>
                <w:bCs/>
              </w:rPr>
              <w:t>59</w:t>
            </w:r>
            <w:r>
              <w:rPr>
                <w:rFonts w:ascii="Times New Roman" w:eastAsia="仿宋_GB2312" w:hAnsi="Times New Roman" w:cs="Times New Roman"/>
                <w:bCs/>
              </w:rPr>
              <w:t>岁</w:t>
            </w:r>
          </w:p>
        </w:tc>
        <w:tc>
          <w:tcPr>
            <w:tcW w:w="65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B3EFCD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60</w:t>
            </w:r>
            <w:r>
              <w:rPr>
                <w:rFonts w:ascii="Times New Roman" w:eastAsia="仿宋_GB2312" w:hAnsi="Times New Roman" w:cs="Times New Roman"/>
                <w:bCs/>
              </w:rPr>
              <w:t>岁及以上</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A77B5F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博士学位教师</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D8C1B4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硕士学位教师</w:t>
            </w:r>
          </w:p>
        </w:tc>
        <w:tc>
          <w:tcPr>
            <w:tcW w:w="574" w:type="dxa"/>
            <w:vMerge/>
            <w:tcBorders>
              <w:left w:val="nil"/>
              <w:bottom w:val="single" w:sz="4" w:space="0" w:color="000000"/>
              <w:right w:val="single" w:sz="4" w:space="0" w:color="000000"/>
            </w:tcBorders>
            <w:tcMar>
              <w:top w:w="10" w:type="dxa"/>
              <w:left w:w="10" w:type="dxa"/>
              <w:bottom w:w="0" w:type="dxa"/>
              <w:right w:w="10" w:type="dxa"/>
            </w:tcMar>
            <w:vAlign w:val="center"/>
          </w:tcPr>
          <w:p w14:paraId="72FFFB49" w14:textId="77777777" w:rsidR="00AB51C8" w:rsidRDefault="00AB51C8">
            <w:pPr>
              <w:pStyle w:val="15"/>
              <w:adjustRightInd w:val="0"/>
              <w:snapToGrid w:val="0"/>
              <w:ind w:firstLineChars="0" w:firstLine="0"/>
              <w:jc w:val="center"/>
              <w:rPr>
                <w:rFonts w:ascii="Times New Roman" w:eastAsia="仿宋_GB2312" w:hAnsi="Times New Roman" w:cs="Times New Roman"/>
                <w:bCs/>
              </w:rPr>
            </w:pPr>
          </w:p>
        </w:tc>
        <w:tc>
          <w:tcPr>
            <w:tcW w:w="1134" w:type="dxa"/>
            <w:vMerge/>
            <w:tcBorders>
              <w:left w:val="nil"/>
              <w:bottom w:val="single" w:sz="4" w:space="0" w:color="000000"/>
              <w:right w:val="single" w:sz="4" w:space="0" w:color="000000"/>
            </w:tcBorders>
            <w:tcMar>
              <w:top w:w="10" w:type="dxa"/>
              <w:left w:w="10" w:type="dxa"/>
              <w:bottom w:w="0" w:type="dxa"/>
              <w:right w:w="10" w:type="dxa"/>
            </w:tcMar>
            <w:vAlign w:val="center"/>
          </w:tcPr>
          <w:p w14:paraId="61582710" w14:textId="77777777" w:rsidR="00AB51C8" w:rsidRDefault="00AB51C8">
            <w:pPr>
              <w:pStyle w:val="15"/>
              <w:adjustRightInd w:val="0"/>
              <w:snapToGrid w:val="0"/>
              <w:ind w:firstLineChars="0" w:firstLine="0"/>
              <w:jc w:val="center"/>
              <w:rPr>
                <w:rFonts w:ascii="Times New Roman" w:eastAsia="仿宋_GB2312" w:hAnsi="Times New Roman" w:cs="Times New Roman"/>
                <w:bCs/>
              </w:rPr>
            </w:pPr>
          </w:p>
        </w:tc>
        <w:tc>
          <w:tcPr>
            <w:tcW w:w="676" w:type="dxa"/>
            <w:vMerge/>
            <w:tcBorders>
              <w:left w:val="nil"/>
              <w:bottom w:val="single" w:sz="4" w:space="0" w:color="000000"/>
              <w:right w:val="single" w:sz="4" w:space="0" w:color="000000"/>
            </w:tcBorders>
            <w:tcMar>
              <w:top w:w="10" w:type="dxa"/>
              <w:left w:w="10" w:type="dxa"/>
              <w:bottom w:w="0" w:type="dxa"/>
              <w:right w:w="10" w:type="dxa"/>
            </w:tcMar>
            <w:vAlign w:val="center"/>
          </w:tcPr>
          <w:p w14:paraId="0DDF8149" w14:textId="77777777" w:rsidR="00AB51C8" w:rsidRDefault="00AB51C8">
            <w:pPr>
              <w:pStyle w:val="15"/>
              <w:adjustRightInd w:val="0"/>
              <w:snapToGrid w:val="0"/>
              <w:ind w:firstLineChars="0" w:firstLine="0"/>
              <w:jc w:val="center"/>
              <w:rPr>
                <w:rFonts w:ascii="Times New Roman" w:eastAsia="仿宋_GB2312" w:hAnsi="Times New Roman" w:cs="Times New Roman"/>
                <w:bCs/>
              </w:rPr>
            </w:pPr>
          </w:p>
        </w:tc>
      </w:tr>
      <w:tr w:rsidR="00AB51C8" w14:paraId="6368C759" w14:textId="77777777">
        <w:trPr>
          <w:trHeight w:val="239"/>
        </w:trPr>
        <w:tc>
          <w:tcPr>
            <w:tcW w:w="942"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18A67FF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正高级</w:t>
            </w:r>
          </w:p>
        </w:tc>
        <w:tc>
          <w:tcPr>
            <w:tcW w:w="5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688661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11</w:t>
            </w:r>
          </w:p>
        </w:tc>
        <w:tc>
          <w:tcPr>
            <w:tcW w:w="66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9C1A37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4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4A9435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3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C89D13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4</w:t>
            </w:r>
          </w:p>
        </w:tc>
        <w:tc>
          <w:tcPr>
            <w:tcW w:w="53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E2B74E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65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42FD66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A40C7C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10</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23D8E3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p>
        </w:tc>
        <w:tc>
          <w:tcPr>
            <w:tcW w:w="57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E84A04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11</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106942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11</w:t>
            </w:r>
          </w:p>
        </w:tc>
        <w:tc>
          <w:tcPr>
            <w:tcW w:w="67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46E380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r>
      <w:tr w:rsidR="00AB51C8" w14:paraId="0F8D972B" w14:textId="77777777">
        <w:trPr>
          <w:trHeight w:val="301"/>
        </w:trPr>
        <w:tc>
          <w:tcPr>
            <w:tcW w:w="942"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45B49AD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副高级</w:t>
            </w:r>
          </w:p>
        </w:tc>
        <w:tc>
          <w:tcPr>
            <w:tcW w:w="5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CA601F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66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7A5B62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4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B4A893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3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57F6EB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53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4C6DA2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65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BAC50E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CA7967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3</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4450F9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57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873766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092654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4</w:t>
            </w:r>
          </w:p>
        </w:tc>
        <w:tc>
          <w:tcPr>
            <w:tcW w:w="67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B44F59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r>
      <w:tr w:rsidR="00AB51C8" w14:paraId="758A8C88" w14:textId="77777777">
        <w:trPr>
          <w:trHeight w:val="183"/>
        </w:trPr>
        <w:tc>
          <w:tcPr>
            <w:tcW w:w="942"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45ECF7C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5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EEA7F1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66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51B2BA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4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E65FD9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3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9BE103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3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B81456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65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950737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E693C3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6371FF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7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BD1D30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B99389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67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01BCCB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r>
      <w:tr w:rsidR="00AB51C8" w14:paraId="6EA439A3" w14:textId="77777777">
        <w:trPr>
          <w:trHeight w:val="60"/>
        </w:trPr>
        <w:tc>
          <w:tcPr>
            <w:tcW w:w="942"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F3E32D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总计</w:t>
            </w:r>
          </w:p>
        </w:tc>
        <w:tc>
          <w:tcPr>
            <w:tcW w:w="5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0306E0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16</w:t>
            </w:r>
          </w:p>
        </w:tc>
        <w:tc>
          <w:tcPr>
            <w:tcW w:w="66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CFA67F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4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D739C7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c>
          <w:tcPr>
            <w:tcW w:w="53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74749D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9</w:t>
            </w:r>
          </w:p>
        </w:tc>
        <w:tc>
          <w:tcPr>
            <w:tcW w:w="53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4E9973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65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05A594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5205CF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13</w:t>
            </w:r>
          </w:p>
        </w:tc>
        <w:tc>
          <w:tcPr>
            <w:tcW w:w="77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59AB3D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3</w:t>
            </w:r>
          </w:p>
        </w:tc>
        <w:tc>
          <w:tcPr>
            <w:tcW w:w="57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AF2FA1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16</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671A8F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w:t>
            </w:r>
          </w:p>
        </w:tc>
        <w:tc>
          <w:tcPr>
            <w:tcW w:w="67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16BC65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0</w:t>
            </w:r>
          </w:p>
        </w:tc>
      </w:tr>
    </w:tbl>
    <w:p w14:paraId="2D441A1A" w14:textId="77777777" w:rsidR="00AB51C8" w:rsidRDefault="00AB51C8">
      <w:pPr>
        <w:pStyle w:val="15"/>
        <w:adjustRightInd w:val="0"/>
        <w:snapToGrid w:val="0"/>
        <w:ind w:firstLineChars="0" w:firstLine="0"/>
        <w:jc w:val="center"/>
        <w:rPr>
          <w:rFonts w:ascii="Times New Roman" w:hAnsi="Times New Roman" w:cs="Times New Roman"/>
          <w:sz w:val="21"/>
          <w:szCs w:val="21"/>
        </w:rPr>
      </w:pPr>
    </w:p>
    <w:p w14:paraId="28AA22E6" w14:textId="77777777" w:rsidR="00AB51C8" w:rsidRDefault="00000000">
      <w:pPr>
        <w:pStyle w:val="a5"/>
        <w:rPr>
          <w:rFonts w:eastAsia="仿宋_GB2312" w:cs="Times New Roman"/>
          <w:b/>
          <w:sz w:val="28"/>
          <w:szCs w:val="28"/>
        </w:rPr>
      </w:pPr>
      <w:bookmarkStart w:id="9" w:name="_Ref101769396"/>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3</w:t>
      </w:r>
      <w:r>
        <w:rPr>
          <w:rFonts w:eastAsia="仿宋_GB2312" w:cs="Times New Roman"/>
          <w:b/>
          <w:sz w:val="28"/>
          <w:szCs w:val="28"/>
        </w:rPr>
        <w:fldChar w:fldCharType="end"/>
      </w:r>
      <w:bookmarkEnd w:id="9"/>
      <w:r>
        <w:rPr>
          <w:rFonts w:eastAsia="仿宋_GB2312" w:cs="Times New Roman"/>
          <w:b/>
          <w:sz w:val="28"/>
          <w:szCs w:val="28"/>
        </w:rPr>
        <w:t xml:space="preserve"> </w:t>
      </w:r>
      <w:r>
        <w:rPr>
          <w:rFonts w:eastAsia="仿宋_GB2312" w:cs="Times New Roman"/>
          <w:b/>
          <w:sz w:val="28"/>
          <w:szCs w:val="28"/>
        </w:rPr>
        <w:t>主持国家级项目清单</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425"/>
        <w:gridCol w:w="425"/>
        <w:gridCol w:w="1876"/>
        <w:gridCol w:w="850"/>
        <w:gridCol w:w="851"/>
        <w:gridCol w:w="1276"/>
        <w:gridCol w:w="1559"/>
        <w:gridCol w:w="869"/>
      </w:tblGrid>
      <w:tr w:rsidR="00AB51C8" w14:paraId="3050BA57" w14:textId="77777777">
        <w:trPr>
          <w:trHeight w:val="472"/>
          <w:jc w:val="center"/>
        </w:trPr>
        <w:tc>
          <w:tcPr>
            <w:tcW w:w="388" w:type="dxa"/>
            <w:vAlign w:val="center"/>
          </w:tcPr>
          <w:p w14:paraId="2209A806"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序号</w:t>
            </w:r>
          </w:p>
        </w:tc>
        <w:tc>
          <w:tcPr>
            <w:tcW w:w="425" w:type="dxa"/>
            <w:vAlign w:val="center"/>
          </w:tcPr>
          <w:p w14:paraId="677FB92E"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姓名</w:t>
            </w:r>
          </w:p>
        </w:tc>
        <w:tc>
          <w:tcPr>
            <w:tcW w:w="425" w:type="dxa"/>
            <w:vAlign w:val="center"/>
          </w:tcPr>
          <w:p w14:paraId="29F01319"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年龄</w:t>
            </w:r>
          </w:p>
        </w:tc>
        <w:tc>
          <w:tcPr>
            <w:tcW w:w="1876" w:type="dxa"/>
            <w:vAlign w:val="center"/>
          </w:tcPr>
          <w:p w14:paraId="7A196372"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850" w:type="dxa"/>
            <w:vAlign w:val="center"/>
          </w:tcPr>
          <w:p w14:paraId="3B09038D"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项目来源</w:t>
            </w:r>
          </w:p>
        </w:tc>
        <w:tc>
          <w:tcPr>
            <w:tcW w:w="851" w:type="dxa"/>
            <w:vAlign w:val="center"/>
          </w:tcPr>
          <w:p w14:paraId="63DA0ADE"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获批年度</w:t>
            </w:r>
          </w:p>
        </w:tc>
        <w:tc>
          <w:tcPr>
            <w:tcW w:w="1276" w:type="dxa"/>
            <w:vAlign w:val="center"/>
          </w:tcPr>
          <w:p w14:paraId="3EDFCDE6"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项目起止年月</w:t>
            </w:r>
          </w:p>
        </w:tc>
        <w:tc>
          <w:tcPr>
            <w:tcW w:w="1559" w:type="dxa"/>
            <w:vAlign w:val="center"/>
          </w:tcPr>
          <w:p w14:paraId="2AEAD5EF"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项目类型</w:t>
            </w:r>
          </w:p>
        </w:tc>
        <w:tc>
          <w:tcPr>
            <w:tcW w:w="869" w:type="dxa"/>
            <w:vAlign w:val="center"/>
          </w:tcPr>
          <w:p w14:paraId="0E1E0273" w14:textId="77777777" w:rsidR="00AB51C8" w:rsidRDefault="00000000">
            <w:pPr>
              <w:pStyle w:val="15"/>
              <w:adjustRightInd w:val="0"/>
              <w:snapToGrid w:val="0"/>
              <w:ind w:firstLineChars="0" w:firstLine="0"/>
              <w:jc w:val="center"/>
              <w:rPr>
                <w:rFonts w:ascii="Times New Roman" w:eastAsia="仿宋_GB2312" w:hAnsi="Times New Roman" w:cs="Times New Roman"/>
                <w:b/>
              </w:rPr>
            </w:pPr>
            <w:r>
              <w:rPr>
                <w:rFonts w:ascii="Times New Roman" w:eastAsia="仿宋_GB2312" w:hAnsi="Times New Roman" w:cs="Times New Roman"/>
                <w:b/>
              </w:rPr>
              <w:t>合同经费（万元）</w:t>
            </w:r>
          </w:p>
        </w:tc>
      </w:tr>
      <w:tr w:rsidR="00AB51C8" w14:paraId="1DB4AEE6" w14:textId="77777777">
        <w:trPr>
          <w:trHeight w:val="472"/>
          <w:jc w:val="center"/>
        </w:trPr>
        <w:tc>
          <w:tcPr>
            <w:tcW w:w="388" w:type="dxa"/>
            <w:vAlign w:val="center"/>
          </w:tcPr>
          <w:p w14:paraId="240956C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25" w:type="dxa"/>
            <w:vAlign w:val="center"/>
          </w:tcPr>
          <w:p w14:paraId="1553BCF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孙启宏</w:t>
            </w:r>
          </w:p>
        </w:tc>
        <w:tc>
          <w:tcPr>
            <w:tcW w:w="425" w:type="dxa"/>
            <w:vAlign w:val="center"/>
          </w:tcPr>
          <w:p w14:paraId="4885C01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56</w:t>
            </w:r>
          </w:p>
        </w:tc>
        <w:tc>
          <w:tcPr>
            <w:tcW w:w="1876" w:type="dxa"/>
            <w:vAlign w:val="center"/>
          </w:tcPr>
          <w:p w14:paraId="4E2773E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国家流域水污染控制与治理发展战略</w:t>
            </w:r>
          </w:p>
        </w:tc>
        <w:tc>
          <w:tcPr>
            <w:tcW w:w="850" w:type="dxa"/>
            <w:vAlign w:val="center"/>
          </w:tcPr>
          <w:p w14:paraId="5A95F8D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科技部</w:t>
            </w:r>
          </w:p>
        </w:tc>
        <w:tc>
          <w:tcPr>
            <w:tcW w:w="851" w:type="dxa"/>
            <w:vAlign w:val="center"/>
          </w:tcPr>
          <w:p w14:paraId="467882C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w:t>
            </w:r>
          </w:p>
        </w:tc>
        <w:tc>
          <w:tcPr>
            <w:tcW w:w="1276" w:type="dxa"/>
            <w:vAlign w:val="center"/>
          </w:tcPr>
          <w:p w14:paraId="183F213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w:t>
            </w:r>
            <w:r>
              <w:rPr>
                <w:rFonts w:ascii="Times New Roman" w:eastAsia="仿宋_GB2312" w:hAnsi="Times New Roman" w:cs="Times New Roman" w:hint="eastAsia"/>
              </w:rPr>
              <w:t>.</w:t>
            </w:r>
            <w:r>
              <w:rPr>
                <w:rFonts w:ascii="Times New Roman" w:eastAsia="仿宋_GB2312" w:hAnsi="Times New Roman" w:cs="Times New Roman"/>
              </w:rPr>
              <w:t>1-2021</w:t>
            </w:r>
            <w:r>
              <w:rPr>
                <w:rFonts w:ascii="Times New Roman" w:eastAsia="仿宋_GB2312" w:hAnsi="Times New Roman" w:cs="Times New Roman" w:hint="eastAsia"/>
              </w:rPr>
              <w:t>.</w:t>
            </w:r>
            <w:r>
              <w:rPr>
                <w:rFonts w:ascii="Times New Roman" w:eastAsia="仿宋_GB2312" w:hAnsi="Times New Roman" w:cs="Times New Roman"/>
              </w:rPr>
              <w:t>6</w:t>
            </w:r>
          </w:p>
        </w:tc>
        <w:tc>
          <w:tcPr>
            <w:tcW w:w="1559" w:type="dxa"/>
            <w:vAlign w:val="center"/>
          </w:tcPr>
          <w:p w14:paraId="48E9B83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国家重大专项独立课题（子课题）</w:t>
            </w:r>
          </w:p>
        </w:tc>
        <w:tc>
          <w:tcPr>
            <w:tcW w:w="869" w:type="dxa"/>
            <w:vAlign w:val="center"/>
          </w:tcPr>
          <w:p w14:paraId="494CADC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200</w:t>
            </w:r>
          </w:p>
        </w:tc>
      </w:tr>
      <w:tr w:rsidR="00AB51C8" w14:paraId="53EBDA30" w14:textId="77777777">
        <w:trPr>
          <w:trHeight w:val="472"/>
          <w:jc w:val="center"/>
        </w:trPr>
        <w:tc>
          <w:tcPr>
            <w:tcW w:w="388" w:type="dxa"/>
            <w:vAlign w:val="center"/>
          </w:tcPr>
          <w:p w14:paraId="37A6791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425" w:type="dxa"/>
            <w:vAlign w:val="center"/>
          </w:tcPr>
          <w:p w14:paraId="087FF81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孙启宏</w:t>
            </w:r>
          </w:p>
        </w:tc>
        <w:tc>
          <w:tcPr>
            <w:tcW w:w="425" w:type="dxa"/>
            <w:vAlign w:val="center"/>
          </w:tcPr>
          <w:p w14:paraId="305C6B0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56</w:t>
            </w:r>
          </w:p>
        </w:tc>
        <w:tc>
          <w:tcPr>
            <w:tcW w:w="1876" w:type="dxa"/>
            <w:vAlign w:val="center"/>
          </w:tcPr>
          <w:p w14:paraId="6483F1D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城市生态经济体系建设理论与实践研究</w:t>
            </w:r>
          </w:p>
        </w:tc>
        <w:tc>
          <w:tcPr>
            <w:tcW w:w="850" w:type="dxa"/>
            <w:vAlign w:val="center"/>
          </w:tcPr>
          <w:p w14:paraId="34E1CBA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生态环境部</w:t>
            </w:r>
          </w:p>
        </w:tc>
        <w:tc>
          <w:tcPr>
            <w:tcW w:w="851" w:type="dxa"/>
            <w:vAlign w:val="center"/>
          </w:tcPr>
          <w:p w14:paraId="554F8E6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p>
        </w:tc>
        <w:tc>
          <w:tcPr>
            <w:tcW w:w="1276" w:type="dxa"/>
            <w:vAlign w:val="center"/>
          </w:tcPr>
          <w:p w14:paraId="6815F39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hint="eastAsia"/>
              </w:rPr>
              <w:t>.</w:t>
            </w:r>
            <w:r>
              <w:rPr>
                <w:rFonts w:ascii="Times New Roman" w:eastAsia="仿宋_GB2312" w:hAnsi="Times New Roman" w:cs="Times New Roman"/>
              </w:rPr>
              <w:t>1-2020</w:t>
            </w:r>
            <w:r>
              <w:rPr>
                <w:rFonts w:ascii="Times New Roman" w:eastAsia="仿宋_GB2312" w:hAnsi="Times New Roman" w:cs="Times New Roman" w:hint="eastAsia"/>
              </w:rPr>
              <w:t>.</w:t>
            </w:r>
            <w:r>
              <w:rPr>
                <w:rFonts w:ascii="Times New Roman" w:eastAsia="仿宋_GB2312" w:hAnsi="Times New Roman" w:cs="Times New Roman"/>
              </w:rPr>
              <w:t>12</w:t>
            </w:r>
          </w:p>
        </w:tc>
        <w:tc>
          <w:tcPr>
            <w:tcW w:w="1559" w:type="dxa"/>
            <w:vAlign w:val="center"/>
          </w:tcPr>
          <w:p w14:paraId="2D2F6F6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生态环境</w:t>
            </w:r>
            <w:proofErr w:type="gramStart"/>
            <w:r>
              <w:rPr>
                <w:rFonts w:ascii="Times New Roman" w:eastAsia="仿宋_GB2312" w:hAnsi="Times New Roman" w:cs="Times New Roman"/>
              </w:rPr>
              <w:t>部预算</w:t>
            </w:r>
            <w:proofErr w:type="gramEnd"/>
            <w:r>
              <w:rPr>
                <w:rFonts w:ascii="Times New Roman" w:eastAsia="仿宋_GB2312" w:hAnsi="Times New Roman" w:cs="Times New Roman"/>
              </w:rPr>
              <w:t>项目</w:t>
            </w:r>
          </w:p>
        </w:tc>
        <w:tc>
          <w:tcPr>
            <w:tcW w:w="869" w:type="dxa"/>
            <w:vAlign w:val="center"/>
          </w:tcPr>
          <w:p w14:paraId="0FD0AF9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49</w:t>
            </w:r>
          </w:p>
        </w:tc>
      </w:tr>
      <w:tr w:rsidR="00AB51C8" w14:paraId="7D99BEFF" w14:textId="77777777">
        <w:trPr>
          <w:trHeight w:val="472"/>
          <w:jc w:val="center"/>
        </w:trPr>
        <w:tc>
          <w:tcPr>
            <w:tcW w:w="388" w:type="dxa"/>
            <w:vAlign w:val="center"/>
          </w:tcPr>
          <w:p w14:paraId="1A1E4A1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425" w:type="dxa"/>
            <w:vAlign w:val="center"/>
          </w:tcPr>
          <w:p w14:paraId="170D285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谢明辉</w:t>
            </w:r>
          </w:p>
        </w:tc>
        <w:tc>
          <w:tcPr>
            <w:tcW w:w="425" w:type="dxa"/>
            <w:vAlign w:val="center"/>
          </w:tcPr>
          <w:p w14:paraId="6ED1CFE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41</w:t>
            </w:r>
          </w:p>
        </w:tc>
        <w:tc>
          <w:tcPr>
            <w:tcW w:w="1876" w:type="dxa"/>
            <w:vAlign w:val="center"/>
          </w:tcPr>
          <w:p w14:paraId="022278A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风电、光</w:t>
            </w:r>
            <w:proofErr w:type="gramStart"/>
            <w:r>
              <w:rPr>
                <w:rFonts w:ascii="Times New Roman" w:eastAsia="仿宋_GB2312" w:hAnsi="Times New Roman" w:cs="Times New Roman"/>
              </w:rPr>
              <w:t>伏行业</w:t>
            </w:r>
            <w:proofErr w:type="gramEnd"/>
            <w:r>
              <w:rPr>
                <w:rFonts w:ascii="Times New Roman" w:eastAsia="仿宋_GB2312" w:hAnsi="Times New Roman" w:cs="Times New Roman"/>
              </w:rPr>
              <w:t>典型产品生命周期评价</w:t>
            </w:r>
          </w:p>
        </w:tc>
        <w:tc>
          <w:tcPr>
            <w:tcW w:w="850" w:type="dxa"/>
            <w:vAlign w:val="center"/>
          </w:tcPr>
          <w:p w14:paraId="7F7BC2D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科技部</w:t>
            </w:r>
          </w:p>
        </w:tc>
        <w:tc>
          <w:tcPr>
            <w:tcW w:w="851" w:type="dxa"/>
            <w:vAlign w:val="center"/>
          </w:tcPr>
          <w:p w14:paraId="49EE649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w:t>
            </w:r>
          </w:p>
        </w:tc>
        <w:tc>
          <w:tcPr>
            <w:tcW w:w="1276" w:type="dxa"/>
            <w:vAlign w:val="center"/>
          </w:tcPr>
          <w:p w14:paraId="59968F8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2019.4-2023.3</w:t>
            </w:r>
          </w:p>
        </w:tc>
        <w:tc>
          <w:tcPr>
            <w:tcW w:w="1559" w:type="dxa"/>
            <w:vAlign w:val="center"/>
          </w:tcPr>
          <w:p w14:paraId="000E477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国家重点研发计划课题</w:t>
            </w:r>
          </w:p>
        </w:tc>
        <w:tc>
          <w:tcPr>
            <w:tcW w:w="869" w:type="dxa"/>
            <w:vAlign w:val="center"/>
          </w:tcPr>
          <w:p w14:paraId="3ED7F33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183</w:t>
            </w:r>
          </w:p>
        </w:tc>
      </w:tr>
      <w:tr w:rsidR="00AB51C8" w14:paraId="419AAFA7" w14:textId="77777777">
        <w:trPr>
          <w:trHeight w:val="472"/>
          <w:jc w:val="center"/>
        </w:trPr>
        <w:tc>
          <w:tcPr>
            <w:tcW w:w="388" w:type="dxa"/>
            <w:vAlign w:val="center"/>
          </w:tcPr>
          <w:p w14:paraId="0E41317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425" w:type="dxa"/>
            <w:vAlign w:val="center"/>
          </w:tcPr>
          <w:p w14:paraId="7612E982" w14:textId="77777777" w:rsidR="00AB51C8" w:rsidRDefault="00000000">
            <w:pPr>
              <w:pStyle w:val="15"/>
              <w:adjustRightInd w:val="0"/>
              <w:snapToGrid w:val="0"/>
              <w:ind w:firstLineChars="0" w:firstLine="0"/>
              <w:jc w:val="center"/>
              <w:rPr>
                <w:rFonts w:ascii="Times New Roman" w:eastAsia="仿宋_GB2312" w:hAnsi="Times New Roman" w:cs="Times New Roman"/>
              </w:rPr>
            </w:pPr>
            <w:proofErr w:type="gramStart"/>
            <w:r>
              <w:rPr>
                <w:rFonts w:ascii="Times New Roman" w:eastAsia="仿宋_GB2312" w:hAnsi="Times New Roman" w:cs="Times New Roman"/>
              </w:rPr>
              <w:t>乔琦</w:t>
            </w:r>
            <w:proofErr w:type="gramEnd"/>
          </w:p>
        </w:tc>
        <w:tc>
          <w:tcPr>
            <w:tcW w:w="425" w:type="dxa"/>
            <w:vAlign w:val="center"/>
          </w:tcPr>
          <w:p w14:paraId="4E950D2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58</w:t>
            </w:r>
          </w:p>
        </w:tc>
        <w:tc>
          <w:tcPr>
            <w:tcW w:w="1876" w:type="dxa"/>
            <w:vAlign w:val="center"/>
          </w:tcPr>
          <w:p w14:paraId="47272F05" w14:textId="77777777" w:rsidR="00AB51C8" w:rsidRDefault="00000000">
            <w:pPr>
              <w:pStyle w:val="15"/>
              <w:adjustRightInd w:val="0"/>
              <w:snapToGrid w:val="0"/>
              <w:ind w:firstLineChars="0" w:firstLine="0"/>
              <w:jc w:val="center"/>
              <w:rPr>
                <w:rFonts w:ascii="Times New Roman" w:eastAsia="仿宋_GB2312" w:hAnsi="Times New Roman" w:cs="Times New Roman"/>
              </w:rPr>
            </w:pPr>
            <w:proofErr w:type="gramStart"/>
            <w:r>
              <w:rPr>
                <w:rFonts w:ascii="Times New Roman" w:eastAsia="仿宋_GB2312" w:hAnsi="Times New Roman" w:cs="Times New Roman"/>
              </w:rPr>
              <w:t>产污系数</w:t>
            </w:r>
            <w:proofErr w:type="gramEnd"/>
            <w:r>
              <w:rPr>
                <w:rFonts w:ascii="Times New Roman" w:eastAsia="仿宋_GB2312" w:hAnsi="Times New Roman" w:cs="Times New Roman"/>
              </w:rPr>
              <w:t>和产排污量核算方法补充、更新、完善与校核课题</w:t>
            </w:r>
          </w:p>
        </w:tc>
        <w:tc>
          <w:tcPr>
            <w:tcW w:w="850" w:type="dxa"/>
            <w:vAlign w:val="center"/>
          </w:tcPr>
          <w:p w14:paraId="4543AB1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第二次全国污染源普查领导小组</w:t>
            </w:r>
          </w:p>
        </w:tc>
        <w:tc>
          <w:tcPr>
            <w:tcW w:w="851" w:type="dxa"/>
            <w:vAlign w:val="center"/>
          </w:tcPr>
          <w:p w14:paraId="50071D6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2019</w:t>
            </w:r>
          </w:p>
        </w:tc>
        <w:tc>
          <w:tcPr>
            <w:tcW w:w="1276" w:type="dxa"/>
            <w:vAlign w:val="center"/>
          </w:tcPr>
          <w:p w14:paraId="3C00751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2020.1-2020.12</w:t>
            </w:r>
          </w:p>
        </w:tc>
        <w:tc>
          <w:tcPr>
            <w:tcW w:w="1559" w:type="dxa"/>
            <w:vAlign w:val="center"/>
          </w:tcPr>
          <w:p w14:paraId="7898469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国家级重大项目</w:t>
            </w:r>
          </w:p>
        </w:tc>
        <w:tc>
          <w:tcPr>
            <w:tcW w:w="869" w:type="dxa"/>
            <w:vAlign w:val="center"/>
          </w:tcPr>
          <w:p w14:paraId="04DA311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946</w:t>
            </w:r>
          </w:p>
        </w:tc>
      </w:tr>
      <w:tr w:rsidR="00AB51C8" w14:paraId="08331DFE" w14:textId="77777777">
        <w:trPr>
          <w:trHeight w:val="472"/>
          <w:jc w:val="center"/>
        </w:trPr>
        <w:tc>
          <w:tcPr>
            <w:tcW w:w="388" w:type="dxa"/>
            <w:vAlign w:val="center"/>
          </w:tcPr>
          <w:p w14:paraId="6651612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5</w:t>
            </w:r>
          </w:p>
        </w:tc>
        <w:tc>
          <w:tcPr>
            <w:tcW w:w="425" w:type="dxa"/>
            <w:vAlign w:val="center"/>
          </w:tcPr>
          <w:p w14:paraId="5B08D39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姚扬</w:t>
            </w:r>
          </w:p>
        </w:tc>
        <w:tc>
          <w:tcPr>
            <w:tcW w:w="425" w:type="dxa"/>
            <w:vAlign w:val="center"/>
          </w:tcPr>
          <w:p w14:paraId="7CA9E0B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42</w:t>
            </w:r>
          </w:p>
        </w:tc>
        <w:tc>
          <w:tcPr>
            <w:tcW w:w="1876" w:type="dxa"/>
            <w:vAlign w:val="center"/>
          </w:tcPr>
          <w:p w14:paraId="1C1F4B7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高效能固</w:t>
            </w:r>
            <w:proofErr w:type="gramStart"/>
            <w:r>
              <w:rPr>
                <w:rFonts w:ascii="Times New Roman" w:eastAsia="仿宋_GB2312" w:hAnsi="Times New Roman" w:cs="Times New Roman"/>
              </w:rPr>
              <w:t>废处理</w:t>
            </w:r>
            <w:proofErr w:type="gramEnd"/>
            <w:r>
              <w:rPr>
                <w:rFonts w:ascii="Times New Roman" w:eastAsia="仿宋_GB2312" w:hAnsi="Times New Roman" w:cs="Times New Roman"/>
              </w:rPr>
              <w:t>处置重大环保装备评价和系统设施运行效果评价技术标准研究</w:t>
            </w:r>
          </w:p>
        </w:tc>
        <w:tc>
          <w:tcPr>
            <w:tcW w:w="850" w:type="dxa"/>
            <w:vAlign w:val="center"/>
          </w:tcPr>
          <w:p w14:paraId="779ECC8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科技部</w:t>
            </w:r>
          </w:p>
        </w:tc>
        <w:tc>
          <w:tcPr>
            <w:tcW w:w="851" w:type="dxa"/>
            <w:vAlign w:val="center"/>
          </w:tcPr>
          <w:p w14:paraId="2218342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 xml:space="preserve">2018 </w:t>
            </w:r>
          </w:p>
        </w:tc>
        <w:tc>
          <w:tcPr>
            <w:tcW w:w="1276" w:type="dxa"/>
            <w:vAlign w:val="center"/>
          </w:tcPr>
          <w:p w14:paraId="1595742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w:t>
            </w:r>
            <w:r>
              <w:rPr>
                <w:rFonts w:ascii="Times New Roman" w:eastAsia="仿宋_GB2312" w:hAnsi="Times New Roman" w:cs="Times New Roman" w:hint="eastAsia"/>
              </w:rPr>
              <w:t>.</w:t>
            </w:r>
            <w:r>
              <w:rPr>
                <w:rFonts w:ascii="Times New Roman" w:eastAsia="仿宋_GB2312" w:hAnsi="Times New Roman" w:cs="Times New Roman"/>
              </w:rPr>
              <w:t>7-2021</w:t>
            </w:r>
            <w:r>
              <w:rPr>
                <w:rFonts w:ascii="Times New Roman" w:eastAsia="仿宋_GB2312" w:hAnsi="Times New Roman" w:cs="Times New Roman" w:hint="eastAsia"/>
              </w:rPr>
              <w:t>.</w:t>
            </w:r>
            <w:r>
              <w:rPr>
                <w:rFonts w:ascii="Times New Roman" w:eastAsia="仿宋_GB2312" w:hAnsi="Times New Roman" w:cs="Times New Roman"/>
              </w:rPr>
              <w:t>6</w:t>
            </w:r>
          </w:p>
        </w:tc>
        <w:tc>
          <w:tcPr>
            <w:tcW w:w="1559" w:type="dxa"/>
            <w:vAlign w:val="center"/>
          </w:tcPr>
          <w:p w14:paraId="219556D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国家重点研发计划</w:t>
            </w:r>
          </w:p>
        </w:tc>
        <w:tc>
          <w:tcPr>
            <w:tcW w:w="869" w:type="dxa"/>
            <w:vAlign w:val="center"/>
          </w:tcPr>
          <w:p w14:paraId="7931D7D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101</w:t>
            </w:r>
          </w:p>
        </w:tc>
      </w:tr>
      <w:tr w:rsidR="00AB51C8" w14:paraId="23D2ECDB" w14:textId="77777777">
        <w:trPr>
          <w:trHeight w:val="472"/>
          <w:jc w:val="center"/>
        </w:trPr>
        <w:tc>
          <w:tcPr>
            <w:tcW w:w="388" w:type="dxa"/>
            <w:vAlign w:val="center"/>
          </w:tcPr>
          <w:p w14:paraId="2C12518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6</w:t>
            </w:r>
          </w:p>
        </w:tc>
        <w:tc>
          <w:tcPr>
            <w:tcW w:w="425" w:type="dxa"/>
            <w:vAlign w:val="center"/>
          </w:tcPr>
          <w:p w14:paraId="55CF2B25" w14:textId="77777777" w:rsidR="00AB51C8" w:rsidRDefault="00000000">
            <w:pPr>
              <w:pStyle w:val="15"/>
              <w:adjustRightInd w:val="0"/>
              <w:snapToGrid w:val="0"/>
              <w:ind w:firstLineChars="0" w:firstLine="0"/>
              <w:jc w:val="center"/>
              <w:rPr>
                <w:rFonts w:ascii="Times New Roman" w:eastAsia="仿宋_GB2312" w:hAnsi="Times New Roman" w:cs="Times New Roman"/>
              </w:rPr>
            </w:pPr>
            <w:proofErr w:type="gramStart"/>
            <w:r>
              <w:rPr>
                <w:rFonts w:ascii="Times New Roman" w:eastAsia="仿宋_GB2312" w:hAnsi="Times New Roman" w:cs="Times New Roman"/>
              </w:rPr>
              <w:t>但智</w:t>
            </w:r>
            <w:r>
              <w:rPr>
                <w:rFonts w:ascii="Times New Roman" w:eastAsia="仿宋_GB2312" w:hAnsi="Times New Roman" w:cs="Times New Roman"/>
              </w:rPr>
              <w:lastRenderedPageBreak/>
              <w:t>钢</w:t>
            </w:r>
            <w:proofErr w:type="gramEnd"/>
          </w:p>
        </w:tc>
        <w:tc>
          <w:tcPr>
            <w:tcW w:w="425" w:type="dxa"/>
            <w:vAlign w:val="center"/>
          </w:tcPr>
          <w:p w14:paraId="07B708A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43</w:t>
            </w:r>
          </w:p>
        </w:tc>
        <w:tc>
          <w:tcPr>
            <w:tcW w:w="1876" w:type="dxa"/>
            <w:vAlign w:val="center"/>
          </w:tcPr>
          <w:p w14:paraId="13D2C85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西南地区有色金属产业聚集区典</w:t>
            </w:r>
            <w:r>
              <w:rPr>
                <w:rFonts w:ascii="Times New Roman" w:eastAsia="仿宋_GB2312" w:hAnsi="Times New Roman" w:cs="Times New Roman"/>
              </w:rPr>
              <w:lastRenderedPageBreak/>
              <w:t>型固</w:t>
            </w:r>
            <w:proofErr w:type="gramStart"/>
            <w:r>
              <w:rPr>
                <w:rFonts w:ascii="Times New Roman" w:eastAsia="仿宋_GB2312" w:hAnsi="Times New Roman" w:cs="Times New Roman"/>
              </w:rPr>
              <w:t>废资源</w:t>
            </w:r>
            <w:proofErr w:type="gramEnd"/>
            <w:r>
              <w:rPr>
                <w:rFonts w:ascii="Times New Roman" w:eastAsia="仿宋_GB2312" w:hAnsi="Times New Roman" w:cs="Times New Roman"/>
              </w:rPr>
              <w:t>属性及其生态环境影响效应</w:t>
            </w:r>
          </w:p>
        </w:tc>
        <w:tc>
          <w:tcPr>
            <w:tcW w:w="850" w:type="dxa"/>
            <w:vAlign w:val="center"/>
          </w:tcPr>
          <w:p w14:paraId="185C0F1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科技部</w:t>
            </w:r>
          </w:p>
        </w:tc>
        <w:tc>
          <w:tcPr>
            <w:tcW w:w="851" w:type="dxa"/>
            <w:vAlign w:val="center"/>
          </w:tcPr>
          <w:p w14:paraId="1EBABCC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p>
        </w:tc>
        <w:tc>
          <w:tcPr>
            <w:tcW w:w="1276" w:type="dxa"/>
            <w:vAlign w:val="center"/>
          </w:tcPr>
          <w:p w14:paraId="7CE890E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hint="eastAsia"/>
              </w:rPr>
              <w:t>.</w:t>
            </w:r>
            <w:r>
              <w:rPr>
                <w:rFonts w:ascii="Times New Roman" w:eastAsia="仿宋_GB2312" w:hAnsi="Times New Roman" w:cs="Times New Roman"/>
              </w:rPr>
              <w:t>1-2022</w:t>
            </w:r>
            <w:r>
              <w:rPr>
                <w:rFonts w:ascii="Times New Roman" w:eastAsia="仿宋_GB2312" w:hAnsi="Times New Roman" w:cs="Times New Roman" w:hint="eastAsia"/>
              </w:rPr>
              <w:t>.</w:t>
            </w:r>
            <w:r>
              <w:rPr>
                <w:rFonts w:ascii="Times New Roman" w:eastAsia="仿宋_GB2312" w:hAnsi="Times New Roman" w:cs="Times New Roman"/>
              </w:rPr>
              <w:t>12</w:t>
            </w:r>
          </w:p>
        </w:tc>
        <w:tc>
          <w:tcPr>
            <w:tcW w:w="1559" w:type="dxa"/>
            <w:vAlign w:val="center"/>
          </w:tcPr>
          <w:p w14:paraId="010AF43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国家重点研发计划</w:t>
            </w:r>
          </w:p>
        </w:tc>
        <w:tc>
          <w:tcPr>
            <w:tcW w:w="869" w:type="dxa"/>
            <w:vAlign w:val="center"/>
          </w:tcPr>
          <w:p w14:paraId="1C487C3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362</w:t>
            </w:r>
          </w:p>
        </w:tc>
      </w:tr>
      <w:tr w:rsidR="00AB51C8" w14:paraId="5A5C212E" w14:textId="77777777">
        <w:trPr>
          <w:trHeight w:val="472"/>
          <w:jc w:val="center"/>
        </w:trPr>
        <w:tc>
          <w:tcPr>
            <w:tcW w:w="388" w:type="dxa"/>
            <w:vAlign w:val="center"/>
          </w:tcPr>
          <w:p w14:paraId="6DD5517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7</w:t>
            </w:r>
          </w:p>
        </w:tc>
        <w:tc>
          <w:tcPr>
            <w:tcW w:w="425" w:type="dxa"/>
            <w:vAlign w:val="center"/>
          </w:tcPr>
          <w:p w14:paraId="2BA3BB8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姚扬</w:t>
            </w:r>
          </w:p>
        </w:tc>
        <w:tc>
          <w:tcPr>
            <w:tcW w:w="425" w:type="dxa"/>
            <w:vAlign w:val="center"/>
          </w:tcPr>
          <w:p w14:paraId="435F0CF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42</w:t>
            </w:r>
          </w:p>
        </w:tc>
        <w:tc>
          <w:tcPr>
            <w:tcW w:w="1876" w:type="dxa"/>
            <w:vAlign w:val="center"/>
          </w:tcPr>
          <w:p w14:paraId="3081BD3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绿色发展促进美丽中国建设路线图实证研究</w:t>
            </w:r>
          </w:p>
        </w:tc>
        <w:tc>
          <w:tcPr>
            <w:tcW w:w="850" w:type="dxa"/>
            <w:vAlign w:val="center"/>
          </w:tcPr>
          <w:p w14:paraId="7C44E47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国家社科基金</w:t>
            </w:r>
          </w:p>
        </w:tc>
        <w:tc>
          <w:tcPr>
            <w:tcW w:w="851" w:type="dxa"/>
            <w:vAlign w:val="center"/>
          </w:tcPr>
          <w:p w14:paraId="79FE4C6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w:t>
            </w:r>
          </w:p>
        </w:tc>
        <w:tc>
          <w:tcPr>
            <w:tcW w:w="1276" w:type="dxa"/>
            <w:vAlign w:val="center"/>
          </w:tcPr>
          <w:p w14:paraId="2BC5DFD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2018.11-2021.11</w:t>
            </w:r>
          </w:p>
        </w:tc>
        <w:tc>
          <w:tcPr>
            <w:tcW w:w="1559" w:type="dxa"/>
            <w:vAlign w:val="center"/>
          </w:tcPr>
          <w:p w14:paraId="6129F00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国家社科基金重大项目</w:t>
            </w:r>
          </w:p>
        </w:tc>
        <w:tc>
          <w:tcPr>
            <w:tcW w:w="869" w:type="dxa"/>
            <w:vAlign w:val="center"/>
          </w:tcPr>
          <w:p w14:paraId="20EA5F7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11</w:t>
            </w:r>
          </w:p>
        </w:tc>
      </w:tr>
    </w:tbl>
    <w:p w14:paraId="1B71C538" w14:textId="77777777" w:rsidR="00AB51C8" w:rsidRDefault="00000000">
      <w:pPr>
        <w:pStyle w:val="a5"/>
        <w:rPr>
          <w:rFonts w:eastAsia="仿宋_GB2312" w:cs="Times New Roman"/>
          <w:b/>
          <w:sz w:val="28"/>
          <w:szCs w:val="28"/>
        </w:rPr>
      </w:pPr>
      <w:bookmarkStart w:id="10" w:name="_Ref101769405"/>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4</w:t>
      </w:r>
      <w:r>
        <w:rPr>
          <w:rFonts w:eastAsia="仿宋_GB2312" w:cs="Times New Roman"/>
          <w:b/>
          <w:sz w:val="28"/>
          <w:szCs w:val="28"/>
        </w:rPr>
        <w:fldChar w:fldCharType="end"/>
      </w:r>
      <w:bookmarkEnd w:id="10"/>
      <w:r>
        <w:rPr>
          <w:rFonts w:eastAsia="仿宋_GB2312" w:cs="Times New Roman"/>
          <w:b/>
          <w:sz w:val="28"/>
          <w:szCs w:val="28"/>
        </w:rPr>
        <w:t xml:space="preserve"> </w:t>
      </w:r>
      <w:r>
        <w:rPr>
          <w:rFonts w:eastAsia="仿宋_GB2312" w:cs="Times New Roman"/>
          <w:b/>
          <w:sz w:val="28"/>
          <w:szCs w:val="28"/>
        </w:rPr>
        <w:t>教师获得的国内外奖项汇总</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134"/>
        <w:gridCol w:w="1984"/>
        <w:gridCol w:w="851"/>
        <w:gridCol w:w="1134"/>
        <w:gridCol w:w="1017"/>
        <w:gridCol w:w="684"/>
        <w:gridCol w:w="1294"/>
      </w:tblGrid>
      <w:tr w:rsidR="00AB51C8" w14:paraId="3B146F09" w14:textId="77777777">
        <w:trPr>
          <w:trHeight w:val="510"/>
          <w:jc w:val="center"/>
        </w:trPr>
        <w:tc>
          <w:tcPr>
            <w:tcW w:w="421" w:type="dxa"/>
            <w:vAlign w:val="center"/>
          </w:tcPr>
          <w:p w14:paraId="76A7B13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序号</w:t>
            </w:r>
          </w:p>
        </w:tc>
        <w:tc>
          <w:tcPr>
            <w:tcW w:w="1134" w:type="dxa"/>
            <w:vAlign w:val="center"/>
          </w:tcPr>
          <w:p w14:paraId="1A46437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奖项名称</w:t>
            </w:r>
          </w:p>
        </w:tc>
        <w:tc>
          <w:tcPr>
            <w:tcW w:w="1984" w:type="dxa"/>
            <w:vAlign w:val="center"/>
          </w:tcPr>
          <w:p w14:paraId="149777A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获奖成果名称</w:t>
            </w:r>
          </w:p>
        </w:tc>
        <w:tc>
          <w:tcPr>
            <w:tcW w:w="851" w:type="dxa"/>
            <w:vAlign w:val="center"/>
          </w:tcPr>
          <w:p w14:paraId="11D66E2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获奖</w:t>
            </w:r>
          </w:p>
          <w:p w14:paraId="6A4CAD4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等级</w:t>
            </w:r>
          </w:p>
        </w:tc>
        <w:tc>
          <w:tcPr>
            <w:tcW w:w="1134" w:type="dxa"/>
            <w:vAlign w:val="center"/>
          </w:tcPr>
          <w:p w14:paraId="1A9F5D5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组织单位</w:t>
            </w:r>
          </w:p>
        </w:tc>
        <w:tc>
          <w:tcPr>
            <w:tcW w:w="1017" w:type="dxa"/>
            <w:vAlign w:val="center"/>
          </w:tcPr>
          <w:p w14:paraId="6ECCE4C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组织单位</w:t>
            </w:r>
          </w:p>
          <w:p w14:paraId="457201D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类型</w:t>
            </w:r>
          </w:p>
        </w:tc>
        <w:tc>
          <w:tcPr>
            <w:tcW w:w="684" w:type="dxa"/>
            <w:vAlign w:val="center"/>
          </w:tcPr>
          <w:p w14:paraId="41BD2A4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获奖时间</w:t>
            </w:r>
          </w:p>
        </w:tc>
        <w:tc>
          <w:tcPr>
            <w:tcW w:w="1294" w:type="dxa"/>
            <w:vAlign w:val="center"/>
          </w:tcPr>
          <w:p w14:paraId="110D020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获奖教师姓名（排名）</w:t>
            </w:r>
          </w:p>
        </w:tc>
      </w:tr>
      <w:tr w:rsidR="00AB51C8" w14:paraId="7FA0BBB5" w14:textId="77777777">
        <w:trPr>
          <w:trHeight w:val="510"/>
          <w:jc w:val="center"/>
        </w:trPr>
        <w:tc>
          <w:tcPr>
            <w:tcW w:w="421" w:type="dxa"/>
            <w:vAlign w:val="center"/>
          </w:tcPr>
          <w:p w14:paraId="19F47C9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1134" w:type="dxa"/>
            <w:vAlign w:val="center"/>
          </w:tcPr>
          <w:p w14:paraId="535CA24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国家科学技术进步奖</w:t>
            </w:r>
          </w:p>
        </w:tc>
        <w:tc>
          <w:tcPr>
            <w:tcW w:w="1984" w:type="dxa"/>
            <w:vAlign w:val="center"/>
          </w:tcPr>
          <w:p w14:paraId="23C9FCBF" w14:textId="77777777" w:rsidR="00AB51C8" w:rsidRDefault="00000000">
            <w:pPr>
              <w:pStyle w:val="15"/>
              <w:adjustRightInd w:val="0"/>
              <w:snapToGrid w:val="0"/>
              <w:ind w:firstLineChars="0" w:firstLine="0"/>
              <w:jc w:val="center"/>
              <w:rPr>
                <w:rFonts w:ascii="Times New Roman" w:eastAsia="仿宋_GB2312" w:hAnsi="Times New Roman" w:cs="Times New Roman"/>
              </w:rPr>
            </w:pPr>
            <w:proofErr w:type="gramStart"/>
            <w:r>
              <w:rPr>
                <w:rFonts w:ascii="Times New Roman" w:eastAsia="仿宋_GB2312" w:hAnsi="Times New Roman" w:cs="Times New Roman"/>
              </w:rPr>
              <w:t>锌</w:t>
            </w:r>
            <w:proofErr w:type="gramEnd"/>
            <w:r>
              <w:rPr>
                <w:rFonts w:ascii="Times New Roman" w:eastAsia="仿宋_GB2312" w:hAnsi="Times New Roman" w:cs="Times New Roman"/>
              </w:rPr>
              <w:t>电解典型重金属污染物源头削减关键共性技术与大型成套装备</w:t>
            </w:r>
          </w:p>
        </w:tc>
        <w:tc>
          <w:tcPr>
            <w:tcW w:w="851" w:type="dxa"/>
            <w:vAlign w:val="center"/>
          </w:tcPr>
          <w:p w14:paraId="16F1F06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5AA037B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中华人民共和国国务院</w:t>
            </w:r>
          </w:p>
        </w:tc>
        <w:tc>
          <w:tcPr>
            <w:tcW w:w="1017" w:type="dxa"/>
            <w:vAlign w:val="center"/>
          </w:tcPr>
          <w:p w14:paraId="4F857BC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政府</w:t>
            </w:r>
          </w:p>
        </w:tc>
        <w:tc>
          <w:tcPr>
            <w:tcW w:w="684" w:type="dxa"/>
            <w:vAlign w:val="center"/>
          </w:tcPr>
          <w:p w14:paraId="4EEB8D5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3D9B087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段宁（</w:t>
            </w:r>
            <w:r>
              <w:rPr>
                <w:rFonts w:ascii="Times New Roman" w:eastAsia="仿宋_GB2312" w:hAnsi="Times New Roman" w:cs="Times New Roman"/>
              </w:rPr>
              <w:t>3</w:t>
            </w:r>
            <w:r>
              <w:rPr>
                <w:rFonts w:ascii="Times New Roman" w:eastAsia="仿宋_GB2312" w:hAnsi="Times New Roman" w:cs="Times New Roman"/>
              </w:rPr>
              <w:t>）</w:t>
            </w:r>
          </w:p>
        </w:tc>
      </w:tr>
      <w:tr w:rsidR="00AB51C8" w14:paraId="7A7D5987" w14:textId="77777777">
        <w:trPr>
          <w:trHeight w:val="510"/>
          <w:jc w:val="center"/>
        </w:trPr>
        <w:tc>
          <w:tcPr>
            <w:tcW w:w="421" w:type="dxa"/>
            <w:vAlign w:val="center"/>
          </w:tcPr>
          <w:p w14:paraId="544DFFF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1134" w:type="dxa"/>
            <w:vAlign w:val="center"/>
          </w:tcPr>
          <w:p w14:paraId="4F61B89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第二次全国污染源普查优秀专题报告</w:t>
            </w:r>
          </w:p>
        </w:tc>
        <w:tc>
          <w:tcPr>
            <w:tcW w:w="1984" w:type="dxa"/>
            <w:vAlign w:val="center"/>
          </w:tcPr>
          <w:p w14:paraId="72F451F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工业污染源产排污系数核算标准化与建立更新机制对策建议</w:t>
            </w:r>
          </w:p>
        </w:tc>
        <w:tc>
          <w:tcPr>
            <w:tcW w:w="851" w:type="dxa"/>
            <w:vAlign w:val="center"/>
          </w:tcPr>
          <w:p w14:paraId="21F9AFB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一等奖</w:t>
            </w:r>
          </w:p>
        </w:tc>
        <w:tc>
          <w:tcPr>
            <w:tcW w:w="1134" w:type="dxa"/>
            <w:vAlign w:val="center"/>
          </w:tcPr>
          <w:p w14:paraId="02D7263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中华人民共和国国务院</w:t>
            </w:r>
          </w:p>
        </w:tc>
        <w:tc>
          <w:tcPr>
            <w:tcW w:w="1017" w:type="dxa"/>
            <w:vAlign w:val="center"/>
          </w:tcPr>
          <w:p w14:paraId="12E12BC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政府</w:t>
            </w:r>
          </w:p>
        </w:tc>
        <w:tc>
          <w:tcPr>
            <w:tcW w:w="684" w:type="dxa"/>
            <w:vAlign w:val="center"/>
          </w:tcPr>
          <w:p w14:paraId="63591C1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6C97113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乔琦（</w:t>
            </w:r>
            <w:r>
              <w:rPr>
                <w:rFonts w:ascii="Times New Roman" w:eastAsia="仿宋_GB2312" w:hAnsi="Times New Roman" w:cs="Times New Roman"/>
              </w:rPr>
              <w:t>1</w:t>
            </w:r>
            <w:r>
              <w:rPr>
                <w:rFonts w:ascii="Times New Roman" w:eastAsia="仿宋_GB2312" w:hAnsi="Times New Roman" w:cs="Times New Roman"/>
              </w:rPr>
              <w:t>）、白璐（</w:t>
            </w:r>
            <w:r>
              <w:rPr>
                <w:rFonts w:ascii="Times New Roman" w:eastAsia="仿宋_GB2312" w:hAnsi="Times New Roman" w:cs="Times New Roman"/>
              </w:rPr>
              <w:t>2</w:t>
            </w:r>
            <w:r>
              <w:rPr>
                <w:rFonts w:ascii="Times New Roman" w:eastAsia="仿宋_GB2312" w:hAnsi="Times New Roman" w:cs="Times New Roman"/>
              </w:rPr>
              <w:t>）、刘景洋（</w:t>
            </w:r>
            <w:r>
              <w:rPr>
                <w:rFonts w:ascii="Times New Roman" w:eastAsia="仿宋_GB2312" w:hAnsi="Times New Roman" w:cs="Times New Roman"/>
              </w:rPr>
              <w:t>9</w:t>
            </w:r>
            <w:r>
              <w:rPr>
                <w:rFonts w:ascii="Times New Roman" w:eastAsia="仿宋_GB2312" w:hAnsi="Times New Roman" w:cs="Times New Roman"/>
              </w:rPr>
              <w:t>）</w:t>
            </w:r>
          </w:p>
        </w:tc>
      </w:tr>
      <w:tr w:rsidR="00AB51C8" w14:paraId="32656A06" w14:textId="77777777">
        <w:trPr>
          <w:trHeight w:val="510"/>
          <w:jc w:val="center"/>
        </w:trPr>
        <w:tc>
          <w:tcPr>
            <w:tcW w:w="421" w:type="dxa"/>
            <w:vAlign w:val="center"/>
          </w:tcPr>
          <w:p w14:paraId="35E0805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1134" w:type="dxa"/>
            <w:vAlign w:val="center"/>
          </w:tcPr>
          <w:p w14:paraId="00A92E0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第二次全国污染源普查优秀专题报告</w:t>
            </w:r>
          </w:p>
        </w:tc>
        <w:tc>
          <w:tcPr>
            <w:tcW w:w="1984" w:type="dxa"/>
            <w:vAlign w:val="center"/>
          </w:tcPr>
          <w:p w14:paraId="7558806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浙江省温州市污染源普查专题调研报告</w:t>
            </w:r>
          </w:p>
        </w:tc>
        <w:tc>
          <w:tcPr>
            <w:tcW w:w="851" w:type="dxa"/>
            <w:vAlign w:val="center"/>
          </w:tcPr>
          <w:p w14:paraId="5F4243B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0C2D6CB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中华人民共和国国务院</w:t>
            </w:r>
          </w:p>
        </w:tc>
        <w:tc>
          <w:tcPr>
            <w:tcW w:w="1017" w:type="dxa"/>
            <w:vAlign w:val="center"/>
          </w:tcPr>
          <w:p w14:paraId="45B0BE7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政府</w:t>
            </w:r>
          </w:p>
        </w:tc>
        <w:tc>
          <w:tcPr>
            <w:tcW w:w="684" w:type="dxa"/>
            <w:vAlign w:val="center"/>
          </w:tcPr>
          <w:p w14:paraId="28888D9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19AD8F7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谢明辉（</w:t>
            </w:r>
            <w:r>
              <w:rPr>
                <w:rFonts w:ascii="Times New Roman" w:eastAsia="仿宋_GB2312" w:hAnsi="Times New Roman" w:cs="Times New Roman"/>
              </w:rPr>
              <w:t>2</w:t>
            </w:r>
            <w:r>
              <w:rPr>
                <w:rFonts w:ascii="Times New Roman" w:eastAsia="仿宋_GB2312" w:hAnsi="Times New Roman" w:cs="Times New Roman"/>
              </w:rPr>
              <w:t>）、刘景洋（</w:t>
            </w:r>
            <w:r>
              <w:rPr>
                <w:rFonts w:ascii="Times New Roman" w:eastAsia="仿宋_GB2312" w:hAnsi="Times New Roman" w:cs="Times New Roman"/>
              </w:rPr>
              <w:t>5</w:t>
            </w:r>
            <w:r>
              <w:rPr>
                <w:rFonts w:ascii="Times New Roman" w:eastAsia="仿宋_GB2312" w:hAnsi="Times New Roman" w:cs="Times New Roman"/>
              </w:rPr>
              <w:t>）</w:t>
            </w:r>
          </w:p>
        </w:tc>
      </w:tr>
      <w:tr w:rsidR="00AB51C8" w14:paraId="1A04E52C" w14:textId="77777777">
        <w:trPr>
          <w:trHeight w:val="510"/>
          <w:jc w:val="center"/>
        </w:trPr>
        <w:tc>
          <w:tcPr>
            <w:tcW w:w="421" w:type="dxa"/>
            <w:vAlign w:val="center"/>
          </w:tcPr>
          <w:p w14:paraId="77A13EF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1134" w:type="dxa"/>
            <w:vAlign w:val="center"/>
          </w:tcPr>
          <w:p w14:paraId="7FF8B0C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中国循环经济协会科学技术奖</w:t>
            </w:r>
          </w:p>
        </w:tc>
        <w:tc>
          <w:tcPr>
            <w:tcW w:w="1984" w:type="dxa"/>
            <w:vAlign w:val="center"/>
          </w:tcPr>
          <w:p w14:paraId="02A31E5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废塑料精细分类高效分选技术与再生利用管理体系</w:t>
            </w:r>
          </w:p>
        </w:tc>
        <w:tc>
          <w:tcPr>
            <w:tcW w:w="851" w:type="dxa"/>
            <w:vAlign w:val="center"/>
          </w:tcPr>
          <w:p w14:paraId="46D0755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4632036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w:t>
            </w:r>
          </w:p>
        </w:tc>
        <w:tc>
          <w:tcPr>
            <w:tcW w:w="1017" w:type="dxa"/>
            <w:vAlign w:val="center"/>
          </w:tcPr>
          <w:p w14:paraId="07B9D99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7FDC644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44FF87A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姚扬（</w:t>
            </w:r>
            <w:r>
              <w:rPr>
                <w:rFonts w:ascii="Times New Roman" w:eastAsia="仿宋_GB2312" w:hAnsi="Times New Roman" w:cs="Times New Roman"/>
              </w:rPr>
              <w:t>3</w:t>
            </w:r>
            <w:r>
              <w:rPr>
                <w:rFonts w:ascii="Times New Roman" w:eastAsia="仿宋_GB2312" w:hAnsi="Times New Roman" w:cs="Times New Roman"/>
              </w:rPr>
              <w:t>）</w:t>
            </w:r>
          </w:p>
        </w:tc>
      </w:tr>
      <w:tr w:rsidR="00AB51C8" w14:paraId="20C4E339" w14:textId="77777777">
        <w:trPr>
          <w:trHeight w:val="510"/>
          <w:jc w:val="center"/>
        </w:trPr>
        <w:tc>
          <w:tcPr>
            <w:tcW w:w="421" w:type="dxa"/>
            <w:vAlign w:val="center"/>
          </w:tcPr>
          <w:p w14:paraId="48D87CF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5</w:t>
            </w:r>
          </w:p>
        </w:tc>
        <w:tc>
          <w:tcPr>
            <w:tcW w:w="1134" w:type="dxa"/>
            <w:vAlign w:val="center"/>
          </w:tcPr>
          <w:p w14:paraId="343FABA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第二次全国污染源普查优秀专题报告</w:t>
            </w:r>
          </w:p>
        </w:tc>
        <w:tc>
          <w:tcPr>
            <w:tcW w:w="1984" w:type="dxa"/>
            <w:vAlign w:val="center"/>
          </w:tcPr>
          <w:p w14:paraId="09A848C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普查数据与生态环境部已公开发布数据对比分析报告</w:t>
            </w:r>
          </w:p>
        </w:tc>
        <w:tc>
          <w:tcPr>
            <w:tcW w:w="851" w:type="dxa"/>
            <w:vAlign w:val="center"/>
          </w:tcPr>
          <w:p w14:paraId="17FC0B5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3B4B489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中华人民共和国国务院</w:t>
            </w:r>
          </w:p>
        </w:tc>
        <w:tc>
          <w:tcPr>
            <w:tcW w:w="1017" w:type="dxa"/>
            <w:vAlign w:val="center"/>
          </w:tcPr>
          <w:p w14:paraId="522DAA9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政府</w:t>
            </w:r>
          </w:p>
        </w:tc>
        <w:tc>
          <w:tcPr>
            <w:tcW w:w="684" w:type="dxa"/>
            <w:vAlign w:val="center"/>
          </w:tcPr>
          <w:p w14:paraId="3CF650D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5088878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白璐（</w:t>
            </w:r>
            <w:r>
              <w:rPr>
                <w:rFonts w:ascii="Times New Roman" w:eastAsia="仿宋_GB2312" w:hAnsi="Times New Roman" w:cs="Times New Roman"/>
              </w:rPr>
              <w:t>9</w:t>
            </w:r>
            <w:r>
              <w:rPr>
                <w:rFonts w:ascii="Times New Roman" w:eastAsia="仿宋_GB2312" w:hAnsi="Times New Roman" w:cs="Times New Roman"/>
              </w:rPr>
              <w:t>）</w:t>
            </w:r>
          </w:p>
        </w:tc>
      </w:tr>
      <w:tr w:rsidR="00AB51C8" w14:paraId="665D616C" w14:textId="77777777">
        <w:trPr>
          <w:trHeight w:val="510"/>
          <w:jc w:val="center"/>
        </w:trPr>
        <w:tc>
          <w:tcPr>
            <w:tcW w:w="421" w:type="dxa"/>
            <w:vAlign w:val="center"/>
          </w:tcPr>
          <w:p w14:paraId="3C4DC19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6</w:t>
            </w:r>
          </w:p>
        </w:tc>
        <w:tc>
          <w:tcPr>
            <w:tcW w:w="1134" w:type="dxa"/>
            <w:vAlign w:val="center"/>
          </w:tcPr>
          <w:p w14:paraId="0E09C84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华夏建设科学技术奖</w:t>
            </w:r>
          </w:p>
        </w:tc>
        <w:tc>
          <w:tcPr>
            <w:tcW w:w="1984" w:type="dxa"/>
            <w:vAlign w:val="center"/>
          </w:tcPr>
          <w:p w14:paraId="28552BA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北方地区农村清洁取暖技术与经济政策研究</w:t>
            </w:r>
          </w:p>
        </w:tc>
        <w:tc>
          <w:tcPr>
            <w:tcW w:w="851" w:type="dxa"/>
            <w:vAlign w:val="center"/>
          </w:tcPr>
          <w:p w14:paraId="66777F2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三等奖</w:t>
            </w:r>
          </w:p>
        </w:tc>
        <w:tc>
          <w:tcPr>
            <w:tcW w:w="1134" w:type="dxa"/>
            <w:vAlign w:val="center"/>
          </w:tcPr>
          <w:p w14:paraId="1156CA5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中国建筑设计研究院</w:t>
            </w:r>
          </w:p>
        </w:tc>
        <w:tc>
          <w:tcPr>
            <w:tcW w:w="1017" w:type="dxa"/>
            <w:vAlign w:val="center"/>
          </w:tcPr>
          <w:p w14:paraId="499C97F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其他</w:t>
            </w:r>
          </w:p>
        </w:tc>
        <w:tc>
          <w:tcPr>
            <w:tcW w:w="684" w:type="dxa"/>
            <w:vAlign w:val="center"/>
          </w:tcPr>
          <w:p w14:paraId="177F837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11E3AC8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吕连宏（</w:t>
            </w:r>
            <w:r>
              <w:rPr>
                <w:rFonts w:ascii="Times New Roman" w:eastAsia="仿宋_GB2312" w:hAnsi="Times New Roman" w:cs="Times New Roman"/>
              </w:rPr>
              <w:t>1</w:t>
            </w:r>
            <w:r>
              <w:rPr>
                <w:rFonts w:ascii="Times New Roman" w:eastAsia="仿宋_GB2312" w:hAnsi="Times New Roman" w:cs="Times New Roman"/>
              </w:rPr>
              <w:t>）、罗宏（</w:t>
            </w:r>
            <w:r>
              <w:rPr>
                <w:rFonts w:ascii="Times New Roman" w:eastAsia="仿宋_GB2312" w:hAnsi="Times New Roman" w:cs="Times New Roman"/>
              </w:rPr>
              <w:t>2</w:t>
            </w:r>
            <w:r>
              <w:rPr>
                <w:rFonts w:ascii="Times New Roman" w:eastAsia="仿宋_GB2312" w:hAnsi="Times New Roman" w:cs="Times New Roman"/>
              </w:rPr>
              <w:t>）</w:t>
            </w:r>
          </w:p>
        </w:tc>
      </w:tr>
      <w:tr w:rsidR="00AB51C8" w14:paraId="4B0AEB6D" w14:textId="77777777">
        <w:trPr>
          <w:trHeight w:val="510"/>
          <w:jc w:val="center"/>
        </w:trPr>
        <w:tc>
          <w:tcPr>
            <w:tcW w:w="421" w:type="dxa"/>
            <w:vAlign w:val="center"/>
          </w:tcPr>
          <w:p w14:paraId="276F4B8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7</w:t>
            </w:r>
          </w:p>
        </w:tc>
        <w:tc>
          <w:tcPr>
            <w:tcW w:w="1134" w:type="dxa"/>
            <w:vAlign w:val="center"/>
          </w:tcPr>
          <w:p w14:paraId="73B1EF2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中国循环经济协会科学技术奖</w:t>
            </w:r>
          </w:p>
        </w:tc>
        <w:tc>
          <w:tcPr>
            <w:tcW w:w="1984" w:type="dxa"/>
            <w:vAlign w:val="center"/>
          </w:tcPr>
          <w:p w14:paraId="0C2FCAD0"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矿山废水绿色处理与资源化关键技术及产业化应用</w:t>
            </w:r>
          </w:p>
        </w:tc>
        <w:tc>
          <w:tcPr>
            <w:tcW w:w="851" w:type="dxa"/>
            <w:vAlign w:val="center"/>
          </w:tcPr>
          <w:p w14:paraId="208450E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一等奖</w:t>
            </w:r>
          </w:p>
        </w:tc>
        <w:tc>
          <w:tcPr>
            <w:tcW w:w="1134" w:type="dxa"/>
            <w:vAlign w:val="center"/>
          </w:tcPr>
          <w:p w14:paraId="0F2152E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w:t>
            </w:r>
          </w:p>
        </w:tc>
        <w:tc>
          <w:tcPr>
            <w:tcW w:w="1017" w:type="dxa"/>
            <w:vAlign w:val="center"/>
          </w:tcPr>
          <w:p w14:paraId="0C75B08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1A02BBC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75EAC81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罗宏（</w:t>
            </w:r>
            <w:r>
              <w:rPr>
                <w:rFonts w:ascii="Times New Roman" w:eastAsia="仿宋_GB2312" w:hAnsi="Times New Roman" w:cs="Times New Roman"/>
              </w:rPr>
              <w:t>6</w:t>
            </w:r>
            <w:r>
              <w:rPr>
                <w:rFonts w:ascii="Times New Roman" w:eastAsia="仿宋_GB2312" w:hAnsi="Times New Roman" w:cs="Times New Roman"/>
              </w:rPr>
              <w:t>）、吕连宏（</w:t>
            </w:r>
            <w:r>
              <w:rPr>
                <w:rFonts w:ascii="Times New Roman" w:eastAsia="仿宋_GB2312" w:hAnsi="Times New Roman" w:cs="Times New Roman"/>
              </w:rPr>
              <w:t>14</w:t>
            </w:r>
            <w:r>
              <w:rPr>
                <w:rFonts w:ascii="Times New Roman" w:eastAsia="仿宋_GB2312" w:hAnsi="Times New Roman" w:cs="Times New Roman"/>
              </w:rPr>
              <w:t>）</w:t>
            </w:r>
          </w:p>
        </w:tc>
      </w:tr>
      <w:tr w:rsidR="00AB51C8" w14:paraId="5C8CF93E" w14:textId="77777777">
        <w:trPr>
          <w:trHeight w:val="510"/>
          <w:jc w:val="center"/>
        </w:trPr>
        <w:tc>
          <w:tcPr>
            <w:tcW w:w="421" w:type="dxa"/>
            <w:vAlign w:val="center"/>
          </w:tcPr>
          <w:p w14:paraId="7CF6A31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8</w:t>
            </w:r>
          </w:p>
        </w:tc>
        <w:tc>
          <w:tcPr>
            <w:tcW w:w="1134" w:type="dxa"/>
            <w:vAlign w:val="center"/>
          </w:tcPr>
          <w:p w14:paraId="1CDC8CA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中国商业联合会科学技术奖</w:t>
            </w:r>
          </w:p>
        </w:tc>
        <w:tc>
          <w:tcPr>
            <w:tcW w:w="1984" w:type="dxa"/>
            <w:vAlign w:val="center"/>
          </w:tcPr>
          <w:p w14:paraId="540D3CC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我国环保产业高质量发展的理论与实践</w:t>
            </w:r>
          </w:p>
        </w:tc>
        <w:tc>
          <w:tcPr>
            <w:tcW w:w="851" w:type="dxa"/>
            <w:vAlign w:val="center"/>
          </w:tcPr>
          <w:p w14:paraId="1AE1BB7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60E2ADC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中国商业联合会</w:t>
            </w:r>
          </w:p>
        </w:tc>
        <w:tc>
          <w:tcPr>
            <w:tcW w:w="1017" w:type="dxa"/>
            <w:vAlign w:val="center"/>
          </w:tcPr>
          <w:p w14:paraId="7330D54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3372CA8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55D1614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罗宏（</w:t>
            </w:r>
            <w:r>
              <w:rPr>
                <w:rFonts w:ascii="Times New Roman" w:eastAsia="仿宋_GB2312" w:hAnsi="Times New Roman" w:cs="Times New Roman"/>
              </w:rPr>
              <w:t>1</w:t>
            </w:r>
            <w:r>
              <w:rPr>
                <w:rFonts w:ascii="Times New Roman" w:eastAsia="仿宋_GB2312" w:hAnsi="Times New Roman" w:cs="Times New Roman"/>
              </w:rPr>
              <w:t>），吕连宏（</w:t>
            </w:r>
            <w:r>
              <w:rPr>
                <w:rFonts w:ascii="Times New Roman" w:eastAsia="仿宋_GB2312" w:hAnsi="Times New Roman" w:cs="Times New Roman"/>
              </w:rPr>
              <w:t>2</w:t>
            </w:r>
            <w:r>
              <w:rPr>
                <w:rFonts w:ascii="Times New Roman" w:eastAsia="仿宋_GB2312" w:hAnsi="Times New Roman" w:cs="Times New Roman"/>
              </w:rPr>
              <w:t>），吴静（</w:t>
            </w:r>
            <w:r>
              <w:rPr>
                <w:rFonts w:ascii="Times New Roman" w:eastAsia="仿宋_GB2312" w:hAnsi="Times New Roman" w:cs="Times New Roman"/>
              </w:rPr>
              <w:t>3</w:t>
            </w:r>
            <w:r>
              <w:rPr>
                <w:rFonts w:ascii="Times New Roman" w:eastAsia="仿宋_GB2312" w:hAnsi="Times New Roman" w:cs="Times New Roman"/>
              </w:rPr>
              <w:t>）</w:t>
            </w:r>
          </w:p>
        </w:tc>
      </w:tr>
      <w:tr w:rsidR="00AB51C8" w14:paraId="0F9435C0" w14:textId="77777777">
        <w:trPr>
          <w:trHeight w:val="510"/>
          <w:jc w:val="center"/>
        </w:trPr>
        <w:tc>
          <w:tcPr>
            <w:tcW w:w="421" w:type="dxa"/>
            <w:vAlign w:val="center"/>
          </w:tcPr>
          <w:p w14:paraId="2742985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9</w:t>
            </w:r>
          </w:p>
        </w:tc>
        <w:tc>
          <w:tcPr>
            <w:tcW w:w="1134" w:type="dxa"/>
            <w:vAlign w:val="center"/>
          </w:tcPr>
          <w:p w14:paraId="40DA1845"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中华环保联合会科学技术奖</w:t>
            </w:r>
          </w:p>
        </w:tc>
        <w:tc>
          <w:tcPr>
            <w:tcW w:w="1984" w:type="dxa"/>
            <w:vAlign w:val="center"/>
          </w:tcPr>
          <w:p w14:paraId="09E1D56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区域能源环境复合系统优化调控关键技术</w:t>
            </w:r>
          </w:p>
        </w:tc>
        <w:tc>
          <w:tcPr>
            <w:tcW w:w="851" w:type="dxa"/>
            <w:vAlign w:val="center"/>
          </w:tcPr>
          <w:p w14:paraId="37C57F9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2EBC2776"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中华环保联合会</w:t>
            </w:r>
          </w:p>
        </w:tc>
        <w:tc>
          <w:tcPr>
            <w:tcW w:w="1017" w:type="dxa"/>
            <w:vAlign w:val="center"/>
          </w:tcPr>
          <w:p w14:paraId="0342936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2C1E102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185F001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罗宏（</w:t>
            </w:r>
            <w:r>
              <w:rPr>
                <w:rFonts w:ascii="Times New Roman" w:eastAsia="仿宋_GB2312" w:hAnsi="Times New Roman" w:cs="Times New Roman"/>
              </w:rPr>
              <w:t>1</w:t>
            </w:r>
            <w:r>
              <w:rPr>
                <w:rFonts w:ascii="Times New Roman" w:eastAsia="仿宋_GB2312" w:hAnsi="Times New Roman" w:cs="Times New Roman"/>
              </w:rPr>
              <w:t>）、吕连宏（</w:t>
            </w:r>
            <w:r>
              <w:rPr>
                <w:rFonts w:ascii="Times New Roman" w:eastAsia="仿宋_GB2312" w:hAnsi="Times New Roman" w:cs="Times New Roman"/>
              </w:rPr>
              <w:t>2</w:t>
            </w:r>
            <w:r>
              <w:rPr>
                <w:rFonts w:ascii="Times New Roman" w:eastAsia="仿宋_GB2312" w:hAnsi="Times New Roman" w:cs="Times New Roman"/>
              </w:rPr>
              <w:t>）</w:t>
            </w:r>
          </w:p>
        </w:tc>
      </w:tr>
      <w:tr w:rsidR="00AB51C8" w14:paraId="43B3B2BA" w14:textId="77777777">
        <w:trPr>
          <w:trHeight w:val="510"/>
          <w:jc w:val="center"/>
        </w:trPr>
        <w:tc>
          <w:tcPr>
            <w:tcW w:w="421" w:type="dxa"/>
            <w:vAlign w:val="center"/>
          </w:tcPr>
          <w:p w14:paraId="43DEB8B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10</w:t>
            </w:r>
          </w:p>
        </w:tc>
        <w:tc>
          <w:tcPr>
            <w:tcW w:w="1134" w:type="dxa"/>
            <w:vAlign w:val="center"/>
          </w:tcPr>
          <w:p w14:paraId="5261975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中国商业联合会服务业科技创新奖</w:t>
            </w:r>
          </w:p>
        </w:tc>
        <w:tc>
          <w:tcPr>
            <w:tcW w:w="1984" w:type="dxa"/>
            <w:vAlign w:val="center"/>
          </w:tcPr>
          <w:p w14:paraId="04F7509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中国环境服务业培育与发展咨询报告</w:t>
            </w:r>
          </w:p>
        </w:tc>
        <w:tc>
          <w:tcPr>
            <w:tcW w:w="851" w:type="dxa"/>
            <w:vAlign w:val="center"/>
          </w:tcPr>
          <w:p w14:paraId="1EDBEAA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一等奖</w:t>
            </w:r>
          </w:p>
        </w:tc>
        <w:tc>
          <w:tcPr>
            <w:tcW w:w="1134" w:type="dxa"/>
            <w:vAlign w:val="center"/>
          </w:tcPr>
          <w:p w14:paraId="75C6DAA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中国商业联合会</w:t>
            </w:r>
          </w:p>
        </w:tc>
        <w:tc>
          <w:tcPr>
            <w:tcW w:w="1017" w:type="dxa"/>
            <w:vAlign w:val="center"/>
          </w:tcPr>
          <w:p w14:paraId="68BFBA9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1E6554F9"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3079977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吕连宏（</w:t>
            </w:r>
            <w:r>
              <w:rPr>
                <w:rFonts w:ascii="Times New Roman" w:eastAsia="仿宋_GB2312" w:hAnsi="Times New Roman" w:cs="Times New Roman"/>
              </w:rPr>
              <w:t>1</w:t>
            </w:r>
            <w:r>
              <w:rPr>
                <w:rFonts w:ascii="Times New Roman" w:eastAsia="仿宋_GB2312" w:hAnsi="Times New Roman" w:cs="Times New Roman"/>
              </w:rPr>
              <w:t>）、罗宏（</w:t>
            </w:r>
            <w:r>
              <w:rPr>
                <w:rFonts w:ascii="Times New Roman" w:eastAsia="仿宋_GB2312" w:hAnsi="Times New Roman" w:cs="Times New Roman"/>
              </w:rPr>
              <w:t>2</w:t>
            </w:r>
            <w:r>
              <w:rPr>
                <w:rFonts w:ascii="Times New Roman" w:eastAsia="仿宋_GB2312" w:hAnsi="Times New Roman" w:cs="Times New Roman"/>
              </w:rPr>
              <w:t>）、吴静（</w:t>
            </w:r>
            <w:r>
              <w:rPr>
                <w:rFonts w:ascii="Times New Roman" w:eastAsia="仿宋_GB2312" w:hAnsi="Times New Roman" w:cs="Times New Roman"/>
              </w:rPr>
              <w:t>6</w:t>
            </w:r>
            <w:r>
              <w:rPr>
                <w:rFonts w:ascii="Times New Roman" w:eastAsia="仿宋_GB2312" w:hAnsi="Times New Roman" w:cs="Times New Roman"/>
              </w:rPr>
              <w:t>）</w:t>
            </w:r>
          </w:p>
        </w:tc>
      </w:tr>
      <w:tr w:rsidR="00AB51C8" w14:paraId="5BF0E122" w14:textId="77777777">
        <w:trPr>
          <w:trHeight w:val="510"/>
          <w:jc w:val="center"/>
        </w:trPr>
        <w:tc>
          <w:tcPr>
            <w:tcW w:w="421" w:type="dxa"/>
            <w:vAlign w:val="center"/>
          </w:tcPr>
          <w:p w14:paraId="5FDC59E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11</w:t>
            </w:r>
          </w:p>
        </w:tc>
        <w:tc>
          <w:tcPr>
            <w:tcW w:w="1134" w:type="dxa"/>
            <w:vAlign w:val="center"/>
          </w:tcPr>
          <w:p w14:paraId="2371753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全国优秀工程咨询成果奖</w:t>
            </w:r>
          </w:p>
        </w:tc>
        <w:tc>
          <w:tcPr>
            <w:tcW w:w="1984" w:type="dxa"/>
            <w:vAlign w:val="center"/>
          </w:tcPr>
          <w:p w14:paraId="52AB973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中国能源环境影响综合评估报告</w:t>
            </w:r>
          </w:p>
        </w:tc>
        <w:tc>
          <w:tcPr>
            <w:tcW w:w="851" w:type="dxa"/>
            <w:vAlign w:val="center"/>
          </w:tcPr>
          <w:p w14:paraId="1BD46AE7"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一等奖</w:t>
            </w:r>
          </w:p>
        </w:tc>
        <w:tc>
          <w:tcPr>
            <w:tcW w:w="1134" w:type="dxa"/>
            <w:vAlign w:val="center"/>
          </w:tcPr>
          <w:p w14:paraId="3F15DE8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中国工程咨询协会</w:t>
            </w:r>
          </w:p>
        </w:tc>
        <w:tc>
          <w:tcPr>
            <w:tcW w:w="1017" w:type="dxa"/>
            <w:vAlign w:val="center"/>
          </w:tcPr>
          <w:p w14:paraId="4507E81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5B5FB9E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026AF2C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吕连宏（</w:t>
            </w:r>
            <w:r>
              <w:rPr>
                <w:rFonts w:ascii="Times New Roman" w:eastAsia="仿宋_GB2312" w:hAnsi="Times New Roman" w:cs="Times New Roman"/>
              </w:rPr>
              <w:t>1</w:t>
            </w:r>
            <w:r>
              <w:rPr>
                <w:rFonts w:ascii="Times New Roman" w:eastAsia="仿宋_GB2312" w:hAnsi="Times New Roman" w:cs="Times New Roman"/>
              </w:rPr>
              <w:t>）、罗宏（</w:t>
            </w:r>
            <w:r>
              <w:rPr>
                <w:rFonts w:ascii="Times New Roman" w:eastAsia="仿宋_GB2312" w:hAnsi="Times New Roman" w:cs="Times New Roman"/>
              </w:rPr>
              <w:t>2</w:t>
            </w:r>
            <w:r>
              <w:rPr>
                <w:rFonts w:ascii="Times New Roman" w:eastAsia="仿宋_GB2312" w:hAnsi="Times New Roman" w:cs="Times New Roman"/>
              </w:rPr>
              <w:t>）、吴静（</w:t>
            </w:r>
            <w:r>
              <w:rPr>
                <w:rFonts w:ascii="Times New Roman" w:eastAsia="仿宋_GB2312" w:hAnsi="Times New Roman" w:cs="Times New Roman"/>
              </w:rPr>
              <w:t>5</w:t>
            </w:r>
            <w:r>
              <w:rPr>
                <w:rFonts w:ascii="Times New Roman" w:eastAsia="仿宋_GB2312" w:hAnsi="Times New Roman" w:cs="Times New Roman"/>
              </w:rPr>
              <w:t>）</w:t>
            </w:r>
          </w:p>
        </w:tc>
      </w:tr>
      <w:tr w:rsidR="00AB51C8" w14:paraId="37D5E0B6" w14:textId="77777777">
        <w:trPr>
          <w:trHeight w:val="510"/>
          <w:jc w:val="center"/>
        </w:trPr>
        <w:tc>
          <w:tcPr>
            <w:tcW w:w="421" w:type="dxa"/>
            <w:vAlign w:val="center"/>
          </w:tcPr>
          <w:p w14:paraId="42F9C69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12</w:t>
            </w:r>
          </w:p>
        </w:tc>
        <w:tc>
          <w:tcPr>
            <w:tcW w:w="1134" w:type="dxa"/>
            <w:vAlign w:val="center"/>
          </w:tcPr>
          <w:p w14:paraId="0343AB2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中国有色金属工业科技进步奖</w:t>
            </w:r>
          </w:p>
        </w:tc>
        <w:tc>
          <w:tcPr>
            <w:tcW w:w="1984" w:type="dxa"/>
            <w:vAlign w:val="center"/>
          </w:tcPr>
          <w:p w14:paraId="5608CD8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排污许可证申请与核发技术规范</w:t>
            </w:r>
            <w:r>
              <w:rPr>
                <w:rFonts w:ascii="Times New Roman" w:eastAsia="仿宋_GB2312" w:hAnsi="Times New Roman" w:cs="Times New Roman"/>
              </w:rPr>
              <w:t>-</w:t>
            </w:r>
            <w:r>
              <w:rPr>
                <w:rFonts w:ascii="Times New Roman" w:eastAsia="仿宋_GB2312" w:hAnsi="Times New Roman" w:cs="Times New Roman"/>
              </w:rPr>
              <w:t>有色金属冶炼行业系列标准</w:t>
            </w:r>
          </w:p>
        </w:tc>
        <w:tc>
          <w:tcPr>
            <w:tcW w:w="851" w:type="dxa"/>
            <w:vAlign w:val="center"/>
          </w:tcPr>
          <w:p w14:paraId="2AC1AB4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一等奖</w:t>
            </w:r>
          </w:p>
        </w:tc>
        <w:tc>
          <w:tcPr>
            <w:tcW w:w="1134" w:type="dxa"/>
            <w:vAlign w:val="center"/>
          </w:tcPr>
          <w:p w14:paraId="62D3CD14"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中国有色金属学会</w:t>
            </w:r>
          </w:p>
        </w:tc>
        <w:tc>
          <w:tcPr>
            <w:tcW w:w="1017" w:type="dxa"/>
            <w:vAlign w:val="center"/>
          </w:tcPr>
          <w:p w14:paraId="726F6AC1"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学会</w:t>
            </w:r>
          </w:p>
        </w:tc>
        <w:tc>
          <w:tcPr>
            <w:tcW w:w="684" w:type="dxa"/>
            <w:vAlign w:val="center"/>
          </w:tcPr>
          <w:p w14:paraId="375F5CE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607D092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李艳萍（</w:t>
            </w:r>
            <w:r>
              <w:rPr>
                <w:rFonts w:ascii="Times New Roman" w:eastAsia="仿宋_GB2312" w:hAnsi="Times New Roman" w:cs="Times New Roman"/>
              </w:rPr>
              <w:t>1</w:t>
            </w:r>
            <w:r>
              <w:rPr>
                <w:rFonts w:ascii="Times New Roman" w:eastAsia="仿宋_GB2312" w:hAnsi="Times New Roman" w:cs="Times New Roman"/>
              </w:rPr>
              <w:t>）</w:t>
            </w:r>
          </w:p>
        </w:tc>
      </w:tr>
      <w:tr w:rsidR="00AB51C8" w14:paraId="174A5F9C" w14:textId="77777777">
        <w:trPr>
          <w:trHeight w:val="510"/>
          <w:jc w:val="center"/>
        </w:trPr>
        <w:tc>
          <w:tcPr>
            <w:tcW w:w="421" w:type="dxa"/>
            <w:vAlign w:val="center"/>
          </w:tcPr>
          <w:p w14:paraId="231A6608"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13</w:t>
            </w:r>
          </w:p>
        </w:tc>
        <w:tc>
          <w:tcPr>
            <w:tcW w:w="1134" w:type="dxa"/>
            <w:vAlign w:val="center"/>
          </w:tcPr>
          <w:p w14:paraId="46C9186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中国环境经济协会科学技术奖</w:t>
            </w:r>
          </w:p>
        </w:tc>
        <w:tc>
          <w:tcPr>
            <w:tcW w:w="1984" w:type="dxa"/>
            <w:vAlign w:val="center"/>
          </w:tcPr>
          <w:p w14:paraId="2BBAC71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废塑料精细分类高效分选技术与再生利用管理体系</w:t>
            </w:r>
          </w:p>
        </w:tc>
        <w:tc>
          <w:tcPr>
            <w:tcW w:w="851" w:type="dxa"/>
            <w:vAlign w:val="center"/>
          </w:tcPr>
          <w:p w14:paraId="3773BD3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二等奖</w:t>
            </w:r>
          </w:p>
        </w:tc>
        <w:tc>
          <w:tcPr>
            <w:tcW w:w="1134" w:type="dxa"/>
            <w:vAlign w:val="center"/>
          </w:tcPr>
          <w:p w14:paraId="6E2F430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w:t>
            </w:r>
          </w:p>
        </w:tc>
        <w:tc>
          <w:tcPr>
            <w:tcW w:w="1017" w:type="dxa"/>
            <w:vAlign w:val="center"/>
          </w:tcPr>
          <w:p w14:paraId="262BE932"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7D9DE1B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2CE9901C"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姚扬（</w:t>
            </w:r>
            <w:r>
              <w:rPr>
                <w:rFonts w:ascii="Times New Roman" w:eastAsia="仿宋_GB2312" w:hAnsi="Times New Roman" w:cs="Times New Roman"/>
              </w:rPr>
              <w:t>3</w:t>
            </w:r>
            <w:r>
              <w:rPr>
                <w:rFonts w:ascii="Times New Roman" w:eastAsia="仿宋_GB2312" w:hAnsi="Times New Roman" w:cs="Times New Roman"/>
              </w:rPr>
              <w:t>）</w:t>
            </w:r>
          </w:p>
        </w:tc>
      </w:tr>
      <w:tr w:rsidR="00AB51C8" w14:paraId="15473855" w14:textId="77777777">
        <w:trPr>
          <w:trHeight w:val="510"/>
          <w:jc w:val="center"/>
        </w:trPr>
        <w:tc>
          <w:tcPr>
            <w:tcW w:w="421" w:type="dxa"/>
            <w:vAlign w:val="center"/>
          </w:tcPr>
          <w:p w14:paraId="1B42AA8E"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14</w:t>
            </w:r>
          </w:p>
        </w:tc>
        <w:tc>
          <w:tcPr>
            <w:tcW w:w="1134" w:type="dxa"/>
            <w:vAlign w:val="center"/>
          </w:tcPr>
          <w:p w14:paraId="6795DCFB"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中国环境经济协会</w:t>
            </w:r>
            <w:r>
              <w:rPr>
                <w:rFonts w:ascii="Times New Roman" w:eastAsia="仿宋_GB2312" w:hAnsi="Times New Roman" w:cs="Times New Roman"/>
              </w:rPr>
              <w:lastRenderedPageBreak/>
              <w:t>科学技术奖</w:t>
            </w:r>
          </w:p>
        </w:tc>
        <w:tc>
          <w:tcPr>
            <w:tcW w:w="1984" w:type="dxa"/>
            <w:vAlign w:val="center"/>
          </w:tcPr>
          <w:p w14:paraId="7B4B696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废电路板关键环境风险识别防控研究</w:t>
            </w:r>
            <w:r>
              <w:rPr>
                <w:rFonts w:ascii="Times New Roman" w:eastAsia="仿宋_GB2312" w:hAnsi="Times New Roman" w:cs="Times New Roman"/>
              </w:rPr>
              <w:lastRenderedPageBreak/>
              <w:t>与应用</w:t>
            </w:r>
          </w:p>
        </w:tc>
        <w:tc>
          <w:tcPr>
            <w:tcW w:w="851" w:type="dxa"/>
            <w:vAlign w:val="center"/>
          </w:tcPr>
          <w:p w14:paraId="171703D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二等奖</w:t>
            </w:r>
          </w:p>
        </w:tc>
        <w:tc>
          <w:tcPr>
            <w:tcW w:w="1134" w:type="dxa"/>
            <w:vAlign w:val="center"/>
          </w:tcPr>
          <w:p w14:paraId="68FBE35D"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中国循环经济协会</w:t>
            </w:r>
          </w:p>
        </w:tc>
        <w:tc>
          <w:tcPr>
            <w:tcW w:w="1017" w:type="dxa"/>
            <w:vAlign w:val="center"/>
          </w:tcPr>
          <w:p w14:paraId="224E5BD3"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协会</w:t>
            </w:r>
          </w:p>
        </w:tc>
        <w:tc>
          <w:tcPr>
            <w:tcW w:w="684" w:type="dxa"/>
            <w:vAlign w:val="center"/>
          </w:tcPr>
          <w:p w14:paraId="33257CDA"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2020</w:t>
            </w:r>
            <w:r>
              <w:rPr>
                <w:rFonts w:ascii="Times New Roman" w:eastAsia="仿宋_GB2312" w:hAnsi="Times New Roman" w:cs="Times New Roman"/>
              </w:rPr>
              <w:t>年</w:t>
            </w:r>
          </w:p>
        </w:tc>
        <w:tc>
          <w:tcPr>
            <w:tcW w:w="1294" w:type="dxa"/>
            <w:vAlign w:val="center"/>
          </w:tcPr>
          <w:p w14:paraId="403390CF" w14:textId="77777777" w:rsidR="00AB51C8" w:rsidRDefault="00000000">
            <w:pPr>
              <w:pStyle w:val="15"/>
              <w:adjustRightInd w:val="0"/>
              <w:snapToGrid w:val="0"/>
              <w:ind w:firstLineChars="0" w:firstLine="0"/>
              <w:jc w:val="center"/>
              <w:rPr>
                <w:rFonts w:ascii="Times New Roman" w:eastAsia="仿宋_GB2312" w:hAnsi="Times New Roman" w:cs="Times New Roman"/>
              </w:rPr>
            </w:pPr>
            <w:r>
              <w:rPr>
                <w:rFonts w:ascii="Times New Roman" w:eastAsia="仿宋_GB2312" w:hAnsi="Times New Roman" w:cs="Times New Roman"/>
              </w:rPr>
              <w:t>姚扬（</w:t>
            </w:r>
            <w:r>
              <w:rPr>
                <w:rFonts w:ascii="Times New Roman" w:eastAsia="仿宋_GB2312" w:hAnsi="Times New Roman" w:cs="Times New Roman"/>
              </w:rPr>
              <w:t>9</w:t>
            </w:r>
            <w:r>
              <w:rPr>
                <w:rFonts w:ascii="Times New Roman" w:eastAsia="仿宋_GB2312" w:hAnsi="Times New Roman" w:cs="Times New Roman"/>
              </w:rPr>
              <w:t>）</w:t>
            </w:r>
          </w:p>
        </w:tc>
      </w:tr>
    </w:tbl>
    <w:p w14:paraId="6848D444" w14:textId="77777777" w:rsidR="00AB51C8" w:rsidRDefault="00000000">
      <w:pPr>
        <w:pStyle w:val="a5"/>
        <w:rPr>
          <w:rFonts w:eastAsia="仿宋_GB2312" w:cs="Times New Roman"/>
          <w:b/>
          <w:sz w:val="28"/>
          <w:szCs w:val="28"/>
        </w:rPr>
      </w:pPr>
      <w:bookmarkStart w:id="11" w:name="_Ref101769419"/>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5</w:t>
      </w:r>
      <w:r>
        <w:rPr>
          <w:rFonts w:eastAsia="仿宋_GB2312" w:cs="Times New Roman"/>
          <w:b/>
          <w:sz w:val="28"/>
          <w:szCs w:val="28"/>
        </w:rPr>
        <w:fldChar w:fldCharType="end"/>
      </w:r>
      <w:bookmarkEnd w:id="11"/>
      <w:r>
        <w:rPr>
          <w:rFonts w:eastAsia="仿宋_GB2312" w:cs="Times New Roman"/>
          <w:b/>
          <w:sz w:val="28"/>
          <w:szCs w:val="28"/>
        </w:rPr>
        <w:t xml:space="preserve"> </w:t>
      </w:r>
      <w:r>
        <w:rPr>
          <w:rFonts w:eastAsia="仿宋_GB2312" w:cs="Times New Roman"/>
          <w:b/>
          <w:sz w:val="28"/>
          <w:szCs w:val="28"/>
        </w:rPr>
        <w:t>教师在期刊发表代表性论文汇总</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856"/>
        <w:gridCol w:w="708"/>
        <w:gridCol w:w="851"/>
        <w:gridCol w:w="1276"/>
        <w:gridCol w:w="1609"/>
      </w:tblGrid>
      <w:tr w:rsidR="00AB51C8" w14:paraId="2979B167" w14:textId="77777777">
        <w:trPr>
          <w:trHeight w:val="454"/>
          <w:jc w:val="center"/>
        </w:trPr>
        <w:tc>
          <w:tcPr>
            <w:tcW w:w="421" w:type="dxa"/>
            <w:vAlign w:val="center"/>
          </w:tcPr>
          <w:p w14:paraId="4D04282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序号</w:t>
            </w:r>
          </w:p>
        </w:tc>
        <w:tc>
          <w:tcPr>
            <w:tcW w:w="2693" w:type="dxa"/>
            <w:vAlign w:val="center"/>
          </w:tcPr>
          <w:p w14:paraId="3385CFF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论文标题</w:t>
            </w:r>
          </w:p>
        </w:tc>
        <w:tc>
          <w:tcPr>
            <w:tcW w:w="856" w:type="dxa"/>
            <w:vAlign w:val="center"/>
          </w:tcPr>
          <w:p w14:paraId="2F870D9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作者姓名</w:t>
            </w:r>
          </w:p>
        </w:tc>
        <w:tc>
          <w:tcPr>
            <w:tcW w:w="708" w:type="dxa"/>
            <w:vAlign w:val="center"/>
          </w:tcPr>
          <w:p w14:paraId="6B2241A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作者类型</w:t>
            </w:r>
          </w:p>
        </w:tc>
        <w:tc>
          <w:tcPr>
            <w:tcW w:w="851" w:type="dxa"/>
            <w:vAlign w:val="center"/>
          </w:tcPr>
          <w:p w14:paraId="1C3DD36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发表期刊</w:t>
            </w:r>
          </w:p>
        </w:tc>
        <w:tc>
          <w:tcPr>
            <w:tcW w:w="1276" w:type="dxa"/>
            <w:vAlign w:val="center"/>
          </w:tcPr>
          <w:p w14:paraId="0AE2E1C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发表年份及卷（期）数</w:t>
            </w:r>
          </w:p>
        </w:tc>
        <w:tc>
          <w:tcPr>
            <w:tcW w:w="1609" w:type="dxa"/>
            <w:vAlign w:val="center"/>
          </w:tcPr>
          <w:p w14:paraId="3CFBF88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期刊收录情况</w:t>
            </w:r>
          </w:p>
        </w:tc>
      </w:tr>
      <w:tr w:rsidR="00AB51C8" w14:paraId="3F96ABF0" w14:textId="77777777">
        <w:trPr>
          <w:trHeight w:val="454"/>
          <w:jc w:val="center"/>
        </w:trPr>
        <w:tc>
          <w:tcPr>
            <w:tcW w:w="421" w:type="dxa"/>
            <w:vAlign w:val="center"/>
          </w:tcPr>
          <w:p w14:paraId="3C9780E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p>
        </w:tc>
        <w:tc>
          <w:tcPr>
            <w:tcW w:w="2693" w:type="dxa"/>
            <w:vAlign w:val="center"/>
          </w:tcPr>
          <w:p w14:paraId="1B38F88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环境保护税对经济和</w:t>
            </w:r>
            <w:proofErr w:type="gramStart"/>
            <w:r>
              <w:rPr>
                <w:rFonts w:ascii="Times New Roman" w:eastAsia="仿宋_GB2312" w:hAnsi="Times New Roman" w:cs="Times New Roman"/>
                <w:bCs/>
              </w:rPr>
              <w:t>碳排放</w:t>
            </w:r>
            <w:proofErr w:type="gramEnd"/>
            <w:r>
              <w:rPr>
                <w:rFonts w:ascii="Times New Roman" w:eastAsia="仿宋_GB2312" w:hAnsi="Times New Roman" w:cs="Times New Roman"/>
                <w:bCs/>
              </w:rPr>
              <w:t>影响研究</w:t>
            </w:r>
            <w:r>
              <w:rPr>
                <w:rFonts w:ascii="Times New Roman" w:eastAsia="仿宋_GB2312" w:hAnsi="Times New Roman" w:cs="Times New Roman"/>
                <w:bCs/>
              </w:rPr>
              <w:t>——</w:t>
            </w:r>
            <w:r>
              <w:rPr>
                <w:rFonts w:ascii="Times New Roman" w:eastAsia="仿宋_GB2312" w:hAnsi="Times New Roman" w:cs="Times New Roman"/>
                <w:bCs/>
              </w:rPr>
              <w:t>以江苏省为例</w:t>
            </w:r>
          </w:p>
        </w:tc>
        <w:tc>
          <w:tcPr>
            <w:tcW w:w="856" w:type="dxa"/>
            <w:vAlign w:val="center"/>
          </w:tcPr>
          <w:p w14:paraId="73A25DD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孙启宏</w:t>
            </w:r>
          </w:p>
        </w:tc>
        <w:tc>
          <w:tcPr>
            <w:tcW w:w="708" w:type="dxa"/>
            <w:vAlign w:val="center"/>
          </w:tcPr>
          <w:p w14:paraId="36F7711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4DBAC47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生态经济</w:t>
            </w:r>
          </w:p>
        </w:tc>
        <w:tc>
          <w:tcPr>
            <w:tcW w:w="1276" w:type="dxa"/>
            <w:vAlign w:val="center"/>
          </w:tcPr>
          <w:p w14:paraId="1110EBA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2021(05)</w:t>
            </w:r>
          </w:p>
        </w:tc>
        <w:tc>
          <w:tcPr>
            <w:tcW w:w="1609" w:type="dxa"/>
            <w:vAlign w:val="center"/>
          </w:tcPr>
          <w:p w14:paraId="512CD28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93F0346" w14:textId="77777777">
        <w:trPr>
          <w:trHeight w:val="454"/>
          <w:jc w:val="center"/>
        </w:trPr>
        <w:tc>
          <w:tcPr>
            <w:tcW w:w="421" w:type="dxa"/>
            <w:vAlign w:val="center"/>
          </w:tcPr>
          <w:p w14:paraId="124EF6E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2693" w:type="dxa"/>
            <w:vAlign w:val="center"/>
          </w:tcPr>
          <w:p w14:paraId="7A63825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国内外绿色发展评价研究述评</w:t>
            </w:r>
          </w:p>
        </w:tc>
        <w:tc>
          <w:tcPr>
            <w:tcW w:w="856" w:type="dxa"/>
            <w:vAlign w:val="center"/>
          </w:tcPr>
          <w:p w14:paraId="568B3B4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孙启宏</w:t>
            </w:r>
          </w:p>
        </w:tc>
        <w:tc>
          <w:tcPr>
            <w:tcW w:w="708" w:type="dxa"/>
            <w:vAlign w:val="center"/>
          </w:tcPr>
          <w:p w14:paraId="366F367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63895B3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生态经济</w:t>
            </w:r>
          </w:p>
        </w:tc>
        <w:tc>
          <w:tcPr>
            <w:tcW w:w="1276" w:type="dxa"/>
            <w:vAlign w:val="center"/>
          </w:tcPr>
          <w:p w14:paraId="277DC4C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2021(08)</w:t>
            </w:r>
          </w:p>
        </w:tc>
        <w:tc>
          <w:tcPr>
            <w:tcW w:w="1609" w:type="dxa"/>
            <w:vAlign w:val="center"/>
          </w:tcPr>
          <w:p w14:paraId="1EF2875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05275EA" w14:textId="77777777">
        <w:trPr>
          <w:trHeight w:val="454"/>
          <w:jc w:val="center"/>
        </w:trPr>
        <w:tc>
          <w:tcPr>
            <w:tcW w:w="421" w:type="dxa"/>
            <w:vAlign w:val="center"/>
          </w:tcPr>
          <w:p w14:paraId="616D792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w:t>
            </w:r>
          </w:p>
        </w:tc>
        <w:tc>
          <w:tcPr>
            <w:tcW w:w="2693" w:type="dxa"/>
            <w:vAlign w:val="center"/>
          </w:tcPr>
          <w:p w14:paraId="3FCCEBF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关于加强生态环境保护</w:t>
            </w:r>
            <w:r>
              <w:rPr>
                <w:rFonts w:ascii="Times New Roman" w:eastAsia="仿宋_GB2312" w:hAnsi="Times New Roman" w:cs="Times New Roman"/>
                <w:bCs/>
              </w:rPr>
              <w:t xml:space="preserve"> </w:t>
            </w:r>
            <w:r>
              <w:rPr>
                <w:rFonts w:ascii="Times New Roman" w:eastAsia="仿宋_GB2312" w:hAnsi="Times New Roman" w:cs="Times New Roman"/>
                <w:bCs/>
              </w:rPr>
              <w:t>打造绿色发展新动能的几点思考</w:t>
            </w:r>
          </w:p>
        </w:tc>
        <w:tc>
          <w:tcPr>
            <w:tcW w:w="856" w:type="dxa"/>
            <w:vAlign w:val="center"/>
          </w:tcPr>
          <w:p w14:paraId="33860C3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孙启宏</w:t>
            </w:r>
          </w:p>
        </w:tc>
        <w:tc>
          <w:tcPr>
            <w:tcW w:w="708" w:type="dxa"/>
            <w:vAlign w:val="center"/>
          </w:tcPr>
          <w:p w14:paraId="388EB85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5643148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环境保护</w:t>
            </w:r>
          </w:p>
        </w:tc>
        <w:tc>
          <w:tcPr>
            <w:tcW w:w="1276" w:type="dxa"/>
            <w:vAlign w:val="center"/>
          </w:tcPr>
          <w:p w14:paraId="66779C5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2020(15)</w:t>
            </w:r>
          </w:p>
        </w:tc>
        <w:tc>
          <w:tcPr>
            <w:tcW w:w="1609" w:type="dxa"/>
            <w:vAlign w:val="center"/>
          </w:tcPr>
          <w:p w14:paraId="15B4B36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CSSCI</w:t>
            </w:r>
            <w:r>
              <w:rPr>
                <w:rFonts w:ascii="Times New Roman" w:eastAsia="仿宋_GB2312" w:hAnsi="Times New Roman" w:cs="Times New Roman"/>
                <w:bCs/>
              </w:rPr>
              <w:t>扩展版</w:t>
            </w:r>
          </w:p>
        </w:tc>
      </w:tr>
      <w:tr w:rsidR="00AB51C8" w14:paraId="08E1F360" w14:textId="77777777">
        <w:trPr>
          <w:trHeight w:val="454"/>
          <w:jc w:val="center"/>
        </w:trPr>
        <w:tc>
          <w:tcPr>
            <w:tcW w:w="421" w:type="dxa"/>
            <w:vAlign w:val="center"/>
          </w:tcPr>
          <w:p w14:paraId="06827E8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w:t>
            </w:r>
          </w:p>
        </w:tc>
        <w:tc>
          <w:tcPr>
            <w:tcW w:w="2693" w:type="dxa"/>
            <w:vAlign w:val="center"/>
          </w:tcPr>
          <w:p w14:paraId="573BF54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差异化标准下长江经济带省际环境绩效比较研究</w:t>
            </w:r>
          </w:p>
        </w:tc>
        <w:tc>
          <w:tcPr>
            <w:tcW w:w="856" w:type="dxa"/>
            <w:vAlign w:val="center"/>
          </w:tcPr>
          <w:p w14:paraId="323E6E0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孙启宏</w:t>
            </w:r>
          </w:p>
        </w:tc>
        <w:tc>
          <w:tcPr>
            <w:tcW w:w="708" w:type="dxa"/>
            <w:vAlign w:val="center"/>
          </w:tcPr>
          <w:p w14:paraId="200FE15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C4424B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7D423C9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2020(03)</w:t>
            </w:r>
          </w:p>
        </w:tc>
        <w:tc>
          <w:tcPr>
            <w:tcW w:w="1609" w:type="dxa"/>
            <w:vAlign w:val="center"/>
          </w:tcPr>
          <w:p w14:paraId="711BC6E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51AA2F3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D24DD7C" w14:textId="77777777">
        <w:trPr>
          <w:trHeight w:val="454"/>
          <w:jc w:val="center"/>
        </w:trPr>
        <w:tc>
          <w:tcPr>
            <w:tcW w:w="421" w:type="dxa"/>
            <w:vAlign w:val="center"/>
          </w:tcPr>
          <w:p w14:paraId="5F426BA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2693" w:type="dxa"/>
            <w:vAlign w:val="center"/>
          </w:tcPr>
          <w:p w14:paraId="12291EA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长江经济</w:t>
            </w:r>
            <w:proofErr w:type="gramStart"/>
            <w:r>
              <w:rPr>
                <w:rFonts w:ascii="Times New Roman" w:eastAsia="仿宋_GB2312" w:hAnsi="Times New Roman" w:cs="Times New Roman"/>
                <w:bCs/>
              </w:rPr>
              <w:t>带典型</w:t>
            </w:r>
            <w:proofErr w:type="gramEnd"/>
            <w:r>
              <w:rPr>
                <w:rFonts w:ascii="Times New Roman" w:eastAsia="仿宋_GB2312" w:hAnsi="Times New Roman" w:cs="Times New Roman"/>
                <w:bCs/>
              </w:rPr>
              <w:t>流域重化产业环境风险及对策</w:t>
            </w:r>
          </w:p>
        </w:tc>
        <w:tc>
          <w:tcPr>
            <w:tcW w:w="856" w:type="dxa"/>
            <w:vAlign w:val="center"/>
          </w:tcPr>
          <w:p w14:paraId="4E8A4BA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孙启宏</w:t>
            </w:r>
          </w:p>
        </w:tc>
        <w:tc>
          <w:tcPr>
            <w:tcW w:w="708" w:type="dxa"/>
            <w:vAlign w:val="center"/>
          </w:tcPr>
          <w:p w14:paraId="2A85351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53526AA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1BD2647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2020(05)</w:t>
            </w:r>
          </w:p>
        </w:tc>
        <w:tc>
          <w:tcPr>
            <w:tcW w:w="1609" w:type="dxa"/>
            <w:vAlign w:val="center"/>
          </w:tcPr>
          <w:p w14:paraId="7164A38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期刊</w:t>
            </w:r>
          </w:p>
          <w:p w14:paraId="3CE2A01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4D4C3E30" w14:textId="77777777">
        <w:trPr>
          <w:trHeight w:val="454"/>
          <w:jc w:val="center"/>
        </w:trPr>
        <w:tc>
          <w:tcPr>
            <w:tcW w:w="421" w:type="dxa"/>
            <w:vAlign w:val="center"/>
          </w:tcPr>
          <w:p w14:paraId="6A51C84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6</w:t>
            </w:r>
          </w:p>
        </w:tc>
        <w:tc>
          <w:tcPr>
            <w:tcW w:w="2693" w:type="dxa"/>
            <w:vAlign w:val="center"/>
          </w:tcPr>
          <w:p w14:paraId="5E7DD4D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关于加强生态环境保护打造绿色发展新动能的几点思考</w:t>
            </w:r>
          </w:p>
        </w:tc>
        <w:tc>
          <w:tcPr>
            <w:tcW w:w="856" w:type="dxa"/>
            <w:vAlign w:val="center"/>
          </w:tcPr>
          <w:p w14:paraId="1C5A1B2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47D0C77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2F8001D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环境保护</w:t>
            </w:r>
          </w:p>
        </w:tc>
        <w:tc>
          <w:tcPr>
            <w:tcW w:w="1276" w:type="dxa"/>
            <w:vAlign w:val="center"/>
          </w:tcPr>
          <w:p w14:paraId="5CD322A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2020(08)</w:t>
            </w:r>
          </w:p>
        </w:tc>
        <w:tc>
          <w:tcPr>
            <w:tcW w:w="1609" w:type="dxa"/>
            <w:vAlign w:val="center"/>
          </w:tcPr>
          <w:p w14:paraId="2AE5CF3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CSSCI</w:t>
            </w:r>
            <w:r>
              <w:rPr>
                <w:rFonts w:ascii="Times New Roman" w:eastAsia="仿宋_GB2312" w:hAnsi="Times New Roman" w:cs="Times New Roman"/>
                <w:bCs/>
              </w:rPr>
              <w:t>扩展版</w:t>
            </w:r>
          </w:p>
        </w:tc>
      </w:tr>
      <w:tr w:rsidR="00AB51C8" w14:paraId="3A419253" w14:textId="77777777">
        <w:trPr>
          <w:trHeight w:val="454"/>
          <w:jc w:val="center"/>
        </w:trPr>
        <w:tc>
          <w:tcPr>
            <w:tcW w:w="421" w:type="dxa"/>
            <w:vAlign w:val="center"/>
          </w:tcPr>
          <w:p w14:paraId="00FA87E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7</w:t>
            </w:r>
          </w:p>
        </w:tc>
        <w:tc>
          <w:tcPr>
            <w:tcW w:w="2693" w:type="dxa"/>
            <w:vAlign w:val="center"/>
          </w:tcPr>
          <w:p w14:paraId="263CD2A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我国环境服务业发展水平评价</w:t>
            </w:r>
          </w:p>
        </w:tc>
        <w:tc>
          <w:tcPr>
            <w:tcW w:w="856" w:type="dxa"/>
            <w:vAlign w:val="center"/>
          </w:tcPr>
          <w:p w14:paraId="0669544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11D36C2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76E88DA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52906AA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2020(07)</w:t>
            </w:r>
          </w:p>
        </w:tc>
        <w:tc>
          <w:tcPr>
            <w:tcW w:w="1609" w:type="dxa"/>
            <w:vAlign w:val="center"/>
          </w:tcPr>
          <w:p w14:paraId="09582C1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16A104C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4D176527" w14:textId="77777777">
        <w:trPr>
          <w:trHeight w:val="454"/>
          <w:jc w:val="center"/>
        </w:trPr>
        <w:tc>
          <w:tcPr>
            <w:tcW w:w="421" w:type="dxa"/>
            <w:vAlign w:val="center"/>
          </w:tcPr>
          <w:p w14:paraId="009744E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8</w:t>
            </w:r>
          </w:p>
        </w:tc>
        <w:tc>
          <w:tcPr>
            <w:tcW w:w="2693" w:type="dxa"/>
            <w:vAlign w:val="center"/>
          </w:tcPr>
          <w:p w14:paraId="463C42F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我国与</w:t>
            </w:r>
            <w:r>
              <w:rPr>
                <w:rFonts w:ascii="Times New Roman" w:eastAsia="仿宋_GB2312" w:hAnsi="Times New Roman" w:cs="Times New Roman"/>
                <w:bCs/>
              </w:rPr>
              <w:t>“</w:t>
            </w:r>
            <w:r>
              <w:rPr>
                <w:rFonts w:ascii="Times New Roman" w:eastAsia="仿宋_GB2312" w:hAnsi="Times New Roman" w:cs="Times New Roman"/>
                <w:bCs/>
              </w:rPr>
              <w:t>一带一路</w:t>
            </w:r>
            <w:r>
              <w:rPr>
                <w:rFonts w:ascii="Times New Roman" w:eastAsia="仿宋_GB2312" w:hAnsi="Times New Roman" w:cs="Times New Roman"/>
                <w:bCs/>
              </w:rPr>
              <w:t>”</w:t>
            </w:r>
            <w:r>
              <w:rPr>
                <w:rFonts w:ascii="Times New Roman" w:eastAsia="仿宋_GB2312" w:hAnsi="Times New Roman" w:cs="Times New Roman"/>
                <w:bCs/>
              </w:rPr>
              <w:t>沿线国家环境产品贸易竞争力比较分析</w:t>
            </w:r>
          </w:p>
        </w:tc>
        <w:tc>
          <w:tcPr>
            <w:tcW w:w="856" w:type="dxa"/>
            <w:vAlign w:val="center"/>
          </w:tcPr>
          <w:p w14:paraId="10E0E14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1E2F624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AD9C61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生态经济</w:t>
            </w:r>
          </w:p>
        </w:tc>
        <w:tc>
          <w:tcPr>
            <w:tcW w:w="1276" w:type="dxa"/>
            <w:vAlign w:val="center"/>
          </w:tcPr>
          <w:p w14:paraId="2F92003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2020(06)</w:t>
            </w:r>
          </w:p>
        </w:tc>
        <w:tc>
          <w:tcPr>
            <w:tcW w:w="1609" w:type="dxa"/>
            <w:vAlign w:val="center"/>
          </w:tcPr>
          <w:p w14:paraId="0F1FAC0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396E1C1E" w14:textId="77777777">
        <w:trPr>
          <w:trHeight w:val="454"/>
          <w:jc w:val="center"/>
        </w:trPr>
        <w:tc>
          <w:tcPr>
            <w:tcW w:w="421" w:type="dxa"/>
            <w:vAlign w:val="center"/>
          </w:tcPr>
          <w:p w14:paraId="1590767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9</w:t>
            </w:r>
          </w:p>
        </w:tc>
        <w:tc>
          <w:tcPr>
            <w:tcW w:w="2693" w:type="dxa"/>
            <w:vAlign w:val="center"/>
          </w:tcPr>
          <w:p w14:paraId="621E73C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水生态承载力评估引领流域结构减排</w:t>
            </w:r>
          </w:p>
        </w:tc>
        <w:tc>
          <w:tcPr>
            <w:tcW w:w="856" w:type="dxa"/>
            <w:vAlign w:val="center"/>
          </w:tcPr>
          <w:p w14:paraId="454C4F0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1B802F5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1FA5AD4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科学</w:t>
            </w:r>
          </w:p>
        </w:tc>
        <w:tc>
          <w:tcPr>
            <w:tcW w:w="1276" w:type="dxa"/>
            <w:vAlign w:val="center"/>
          </w:tcPr>
          <w:p w14:paraId="31F5098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2020(05)</w:t>
            </w:r>
          </w:p>
        </w:tc>
        <w:tc>
          <w:tcPr>
            <w:tcW w:w="1609" w:type="dxa"/>
            <w:vAlign w:val="center"/>
          </w:tcPr>
          <w:p w14:paraId="207B7B9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CA </w:t>
            </w:r>
            <w:r>
              <w:rPr>
                <w:rFonts w:ascii="Times New Roman" w:eastAsia="仿宋_GB2312" w:hAnsi="Times New Roman" w:cs="Times New Roman"/>
                <w:bCs/>
              </w:rPr>
              <w:t>化学文摘</w:t>
            </w:r>
            <w:r>
              <w:rPr>
                <w:rFonts w:ascii="Times New Roman" w:eastAsia="仿宋_GB2312" w:hAnsi="Times New Roman" w:cs="Times New Roman"/>
                <w:bCs/>
              </w:rPr>
              <w:t>(</w:t>
            </w:r>
            <w:r>
              <w:rPr>
                <w:rFonts w:ascii="Times New Roman" w:eastAsia="仿宋_GB2312" w:hAnsi="Times New Roman" w:cs="Times New Roman"/>
                <w:bCs/>
              </w:rPr>
              <w:t>美</w:t>
            </w:r>
            <w:r>
              <w:rPr>
                <w:rFonts w:ascii="Times New Roman" w:eastAsia="仿宋_GB2312" w:hAnsi="Times New Roman" w:cs="Times New Roman"/>
                <w:bCs/>
              </w:rPr>
              <w:t>)(2020)</w:t>
            </w:r>
          </w:p>
          <w:p w14:paraId="3C418A9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北京大学《中文核心期刊要目总览》</w:t>
            </w:r>
          </w:p>
        </w:tc>
      </w:tr>
      <w:tr w:rsidR="00AB51C8" w14:paraId="6BF9E7C8" w14:textId="77777777">
        <w:trPr>
          <w:trHeight w:val="454"/>
          <w:jc w:val="center"/>
        </w:trPr>
        <w:tc>
          <w:tcPr>
            <w:tcW w:w="421" w:type="dxa"/>
            <w:vAlign w:val="center"/>
          </w:tcPr>
          <w:p w14:paraId="5039884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10</w:t>
            </w:r>
          </w:p>
        </w:tc>
        <w:tc>
          <w:tcPr>
            <w:tcW w:w="2693" w:type="dxa"/>
            <w:vAlign w:val="center"/>
          </w:tcPr>
          <w:p w14:paraId="4A2D324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基于专利视角的中国大气环保产业技术创新能力研究</w:t>
            </w:r>
          </w:p>
        </w:tc>
        <w:tc>
          <w:tcPr>
            <w:tcW w:w="856" w:type="dxa"/>
            <w:vAlign w:val="center"/>
          </w:tcPr>
          <w:p w14:paraId="42EDBF2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35CA34D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959425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6052EC9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2020(01)</w:t>
            </w:r>
          </w:p>
        </w:tc>
        <w:tc>
          <w:tcPr>
            <w:tcW w:w="1609" w:type="dxa"/>
            <w:vAlign w:val="center"/>
          </w:tcPr>
          <w:p w14:paraId="684AD5F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19FF234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4F0AC78" w14:textId="77777777">
        <w:trPr>
          <w:trHeight w:val="454"/>
          <w:jc w:val="center"/>
        </w:trPr>
        <w:tc>
          <w:tcPr>
            <w:tcW w:w="421" w:type="dxa"/>
            <w:vAlign w:val="center"/>
          </w:tcPr>
          <w:p w14:paraId="6D3DE74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11</w:t>
            </w:r>
          </w:p>
        </w:tc>
        <w:tc>
          <w:tcPr>
            <w:tcW w:w="2693" w:type="dxa"/>
            <w:vAlign w:val="center"/>
          </w:tcPr>
          <w:p w14:paraId="7ADF7AB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环保投资与资源环境变化关系分析</w:t>
            </w:r>
          </w:p>
        </w:tc>
        <w:tc>
          <w:tcPr>
            <w:tcW w:w="856" w:type="dxa"/>
            <w:vAlign w:val="center"/>
          </w:tcPr>
          <w:p w14:paraId="6A73C78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傅泽强</w:t>
            </w:r>
            <w:proofErr w:type="gramEnd"/>
          </w:p>
        </w:tc>
        <w:tc>
          <w:tcPr>
            <w:tcW w:w="708" w:type="dxa"/>
            <w:vAlign w:val="center"/>
          </w:tcPr>
          <w:p w14:paraId="76BA420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285263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29190ED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2020(09)</w:t>
            </w:r>
          </w:p>
        </w:tc>
        <w:tc>
          <w:tcPr>
            <w:tcW w:w="1609" w:type="dxa"/>
            <w:vAlign w:val="center"/>
          </w:tcPr>
          <w:p w14:paraId="415AFA5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5A41AF5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3B739F54" w14:textId="77777777">
        <w:trPr>
          <w:trHeight w:val="454"/>
          <w:jc w:val="center"/>
        </w:trPr>
        <w:tc>
          <w:tcPr>
            <w:tcW w:w="421" w:type="dxa"/>
            <w:vAlign w:val="center"/>
          </w:tcPr>
          <w:p w14:paraId="401547D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12</w:t>
            </w:r>
          </w:p>
        </w:tc>
        <w:tc>
          <w:tcPr>
            <w:tcW w:w="2693" w:type="dxa"/>
            <w:vAlign w:val="center"/>
          </w:tcPr>
          <w:p w14:paraId="0B71F18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废光伏</w:t>
            </w:r>
            <w:proofErr w:type="gramEnd"/>
            <w:r>
              <w:rPr>
                <w:rFonts w:ascii="Times New Roman" w:eastAsia="仿宋_GB2312" w:hAnsi="Times New Roman" w:cs="Times New Roman"/>
                <w:bCs/>
              </w:rPr>
              <w:t>组件</w:t>
            </w:r>
            <w:r>
              <w:rPr>
                <w:rFonts w:ascii="Times New Roman" w:eastAsia="仿宋_GB2312" w:hAnsi="Times New Roman" w:cs="Times New Roman"/>
                <w:bCs/>
              </w:rPr>
              <w:t>EVA</w:t>
            </w:r>
            <w:r>
              <w:rPr>
                <w:rFonts w:ascii="Times New Roman" w:eastAsia="仿宋_GB2312" w:hAnsi="Times New Roman" w:cs="Times New Roman"/>
                <w:bCs/>
              </w:rPr>
              <w:t>热失重动力学及产物分布研究</w:t>
            </w:r>
          </w:p>
        </w:tc>
        <w:tc>
          <w:tcPr>
            <w:tcW w:w="856" w:type="dxa"/>
            <w:vAlign w:val="center"/>
          </w:tcPr>
          <w:p w14:paraId="2D4C7E0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6A8B70D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0273C41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太阳能学报</w:t>
            </w:r>
            <w:r>
              <w:rPr>
                <w:rFonts w:ascii="Times New Roman" w:eastAsia="仿宋_GB2312" w:hAnsi="Times New Roman" w:cs="Times New Roman"/>
                <w:bCs/>
              </w:rPr>
              <w:t> </w:t>
            </w:r>
          </w:p>
        </w:tc>
        <w:tc>
          <w:tcPr>
            <w:tcW w:w="1276" w:type="dxa"/>
            <w:vAlign w:val="center"/>
          </w:tcPr>
          <w:p w14:paraId="2E3668B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2020,41(04)</w:t>
            </w:r>
          </w:p>
        </w:tc>
        <w:tc>
          <w:tcPr>
            <w:tcW w:w="1609" w:type="dxa"/>
            <w:vAlign w:val="center"/>
          </w:tcPr>
          <w:p w14:paraId="785D185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267ABD5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EI</w:t>
            </w:r>
          </w:p>
          <w:p w14:paraId="4DBF357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754E5965" w14:textId="77777777">
        <w:trPr>
          <w:trHeight w:val="454"/>
          <w:jc w:val="center"/>
        </w:trPr>
        <w:tc>
          <w:tcPr>
            <w:tcW w:w="421" w:type="dxa"/>
            <w:vAlign w:val="center"/>
          </w:tcPr>
          <w:p w14:paraId="5DB425B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13</w:t>
            </w:r>
          </w:p>
        </w:tc>
        <w:tc>
          <w:tcPr>
            <w:tcW w:w="2693" w:type="dxa"/>
            <w:vAlign w:val="center"/>
          </w:tcPr>
          <w:p w14:paraId="6317D34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典型溶剂使用行业</w:t>
            </w:r>
            <w:r>
              <w:rPr>
                <w:rFonts w:ascii="Times New Roman" w:eastAsia="仿宋_GB2312" w:hAnsi="Times New Roman" w:cs="Times New Roman"/>
                <w:bCs/>
              </w:rPr>
              <w:t>O3</w:t>
            </w:r>
            <w:r>
              <w:rPr>
                <w:rFonts w:ascii="Times New Roman" w:eastAsia="仿宋_GB2312" w:hAnsi="Times New Roman" w:cs="Times New Roman"/>
                <w:bCs/>
              </w:rPr>
              <w:t>和</w:t>
            </w:r>
            <w:r>
              <w:rPr>
                <w:rFonts w:ascii="Times New Roman" w:eastAsia="仿宋_GB2312" w:hAnsi="Times New Roman" w:cs="Times New Roman"/>
                <w:bCs/>
              </w:rPr>
              <w:t xml:space="preserve">SOA </w:t>
            </w:r>
            <w:r>
              <w:rPr>
                <w:rFonts w:ascii="Times New Roman" w:eastAsia="仿宋_GB2312" w:hAnsi="Times New Roman" w:cs="Times New Roman"/>
                <w:bCs/>
              </w:rPr>
              <w:t>生成潜势分析</w:t>
            </w:r>
          </w:p>
        </w:tc>
        <w:tc>
          <w:tcPr>
            <w:tcW w:w="856" w:type="dxa"/>
            <w:vAlign w:val="center"/>
          </w:tcPr>
          <w:p w14:paraId="2410C63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vAlign w:val="center"/>
          </w:tcPr>
          <w:p w14:paraId="32914F7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0BA2BBD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现代化工</w:t>
            </w:r>
          </w:p>
        </w:tc>
        <w:tc>
          <w:tcPr>
            <w:tcW w:w="1276" w:type="dxa"/>
            <w:vAlign w:val="center"/>
          </w:tcPr>
          <w:p w14:paraId="7D0CC34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2021,40</w:t>
            </w:r>
            <w:r>
              <w:rPr>
                <w:rFonts w:ascii="Times New Roman" w:eastAsia="仿宋_GB2312" w:hAnsi="Times New Roman" w:cs="Times New Roman"/>
                <w:bCs/>
              </w:rPr>
              <w:t>（</w:t>
            </w:r>
            <w:r>
              <w:rPr>
                <w:rFonts w:ascii="Times New Roman" w:eastAsia="仿宋_GB2312" w:hAnsi="Times New Roman" w:cs="Times New Roman"/>
                <w:bCs/>
              </w:rPr>
              <w:t>20</w:t>
            </w:r>
            <w:r>
              <w:rPr>
                <w:rFonts w:ascii="Times New Roman" w:eastAsia="仿宋_GB2312" w:hAnsi="Times New Roman" w:cs="Times New Roman"/>
                <w:bCs/>
              </w:rPr>
              <w:t>）</w:t>
            </w:r>
          </w:p>
        </w:tc>
        <w:tc>
          <w:tcPr>
            <w:tcW w:w="1609" w:type="dxa"/>
            <w:vAlign w:val="center"/>
          </w:tcPr>
          <w:p w14:paraId="6DAC600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08EC88F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88E5081" w14:textId="77777777">
        <w:trPr>
          <w:trHeight w:val="454"/>
          <w:jc w:val="center"/>
        </w:trPr>
        <w:tc>
          <w:tcPr>
            <w:tcW w:w="421" w:type="dxa"/>
            <w:vAlign w:val="center"/>
          </w:tcPr>
          <w:p w14:paraId="59C85B5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14</w:t>
            </w:r>
          </w:p>
        </w:tc>
        <w:tc>
          <w:tcPr>
            <w:tcW w:w="2693" w:type="dxa"/>
            <w:vAlign w:val="center"/>
          </w:tcPr>
          <w:p w14:paraId="76652F4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中国能源消费</w:t>
            </w:r>
            <w:r>
              <w:rPr>
                <w:rFonts w:ascii="Times New Roman" w:eastAsia="仿宋_GB2312" w:hAnsi="Times New Roman" w:cs="Times New Roman"/>
                <w:bCs/>
              </w:rPr>
              <w:t>CO2</w:t>
            </w:r>
            <w:r>
              <w:rPr>
                <w:rFonts w:ascii="Times New Roman" w:eastAsia="仿宋_GB2312" w:hAnsi="Times New Roman" w:cs="Times New Roman"/>
                <w:bCs/>
              </w:rPr>
              <w:t>排放的影响因素及情景分析</w:t>
            </w:r>
          </w:p>
        </w:tc>
        <w:tc>
          <w:tcPr>
            <w:tcW w:w="856" w:type="dxa"/>
            <w:vAlign w:val="center"/>
          </w:tcPr>
          <w:p w14:paraId="22D3E81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367AF1C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5992C3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00420F2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2021,12</w:t>
            </w:r>
          </w:p>
        </w:tc>
        <w:tc>
          <w:tcPr>
            <w:tcW w:w="1609" w:type="dxa"/>
            <w:vAlign w:val="center"/>
          </w:tcPr>
          <w:p w14:paraId="014CF8F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00F8818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1BE89122" w14:textId="77777777">
        <w:trPr>
          <w:trHeight w:val="454"/>
          <w:jc w:val="center"/>
        </w:trPr>
        <w:tc>
          <w:tcPr>
            <w:tcW w:w="421" w:type="dxa"/>
            <w:vAlign w:val="center"/>
          </w:tcPr>
          <w:p w14:paraId="66B33AF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15</w:t>
            </w:r>
          </w:p>
        </w:tc>
        <w:tc>
          <w:tcPr>
            <w:tcW w:w="2693" w:type="dxa"/>
            <w:vAlign w:val="center"/>
          </w:tcPr>
          <w:p w14:paraId="04E9AE8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废光伏</w:t>
            </w:r>
            <w:proofErr w:type="gramEnd"/>
            <w:r>
              <w:rPr>
                <w:rFonts w:ascii="Times New Roman" w:eastAsia="仿宋_GB2312" w:hAnsi="Times New Roman" w:cs="Times New Roman"/>
                <w:bCs/>
              </w:rPr>
              <w:t>组件背板</w:t>
            </w:r>
            <w:r>
              <w:rPr>
                <w:rFonts w:ascii="Times New Roman" w:eastAsia="仿宋_GB2312" w:hAnsi="Times New Roman" w:cs="Times New Roman"/>
                <w:bCs/>
              </w:rPr>
              <w:t>TPT</w:t>
            </w:r>
            <w:r>
              <w:rPr>
                <w:rFonts w:ascii="Times New Roman" w:eastAsia="仿宋_GB2312" w:hAnsi="Times New Roman" w:cs="Times New Roman"/>
                <w:bCs/>
              </w:rPr>
              <w:t>热动力学分析</w:t>
            </w:r>
          </w:p>
        </w:tc>
        <w:tc>
          <w:tcPr>
            <w:tcW w:w="856" w:type="dxa"/>
            <w:vAlign w:val="center"/>
          </w:tcPr>
          <w:p w14:paraId="13D975F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188F676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507F097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塑料</w:t>
            </w:r>
          </w:p>
        </w:tc>
        <w:tc>
          <w:tcPr>
            <w:tcW w:w="1276" w:type="dxa"/>
            <w:vAlign w:val="center"/>
          </w:tcPr>
          <w:p w14:paraId="349A669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2021,50(06)</w:t>
            </w:r>
          </w:p>
        </w:tc>
        <w:tc>
          <w:tcPr>
            <w:tcW w:w="1609" w:type="dxa"/>
            <w:vAlign w:val="center"/>
          </w:tcPr>
          <w:p w14:paraId="225F1C6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35D0877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086B5F4A" w14:textId="77777777">
        <w:trPr>
          <w:trHeight w:val="454"/>
          <w:jc w:val="center"/>
        </w:trPr>
        <w:tc>
          <w:tcPr>
            <w:tcW w:w="421" w:type="dxa"/>
            <w:vAlign w:val="center"/>
          </w:tcPr>
          <w:p w14:paraId="441476B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16</w:t>
            </w:r>
          </w:p>
        </w:tc>
        <w:tc>
          <w:tcPr>
            <w:tcW w:w="2693" w:type="dxa"/>
            <w:vAlign w:val="center"/>
          </w:tcPr>
          <w:p w14:paraId="601BB24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我国废</w:t>
            </w:r>
            <w:r>
              <w:rPr>
                <w:rFonts w:ascii="Times New Roman" w:eastAsia="仿宋_GB2312" w:hAnsi="Times New Roman" w:cs="Times New Roman"/>
                <w:bCs/>
              </w:rPr>
              <w:t>PET</w:t>
            </w:r>
            <w:r>
              <w:rPr>
                <w:rFonts w:ascii="Times New Roman" w:eastAsia="仿宋_GB2312" w:hAnsi="Times New Roman" w:cs="Times New Roman"/>
                <w:bCs/>
              </w:rPr>
              <w:t>饮料</w:t>
            </w:r>
            <w:proofErr w:type="gramStart"/>
            <w:r>
              <w:rPr>
                <w:rFonts w:ascii="Times New Roman" w:eastAsia="仿宋_GB2312" w:hAnsi="Times New Roman" w:cs="Times New Roman"/>
                <w:bCs/>
              </w:rPr>
              <w:t>瓶产生</w:t>
            </w:r>
            <w:proofErr w:type="gramEnd"/>
            <w:r>
              <w:rPr>
                <w:rFonts w:ascii="Times New Roman" w:eastAsia="仿宋_GB2312" w:hAnsi="Times New Roman" w:cs="Times New Roman"/>
                <w:bCs/>
              </w:rPr>
              <w:t>量与回收水平研究</w:t>
            </w:r>
          </w:p>
        </w:tc>
        <w:tc>
          <w:tcPr>
            <w:tcW w:w="856" w:type="dxa"/>
            <w:vAlign w:val="center"/>
          </w:tcPr>
          <w:p w14:paraId="21945A6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535C721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C90B17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75F42FE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2022,12(01)</w:t>
            </w:r>
          </w:p>
        </w:tc>
        <w:tc>
          <w:tcPr>
            <w:tcW w:w="1609" w:type="dxa"/>
            <w:vAlign w:val="center"/>
          </w:tcPr>
          <w:p w14:paraId="33DE10A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6930990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3D993D40" w14:textId="77777777">
        <w:trPr>
          <w:trHeight w:val="454"/>
          <w:jc w:val="center"/>
        </w:trPr>
        <w:tc>
          <w:tcPr>
            <w:tcW w:w="421" w:type="dxa"/>
            <w:vAlign w:val="center"/>
          </w:tcPr>
          <w:p w14:paraId="1A3340C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17</w:t>
            </w:r>
          </w:p>
        </w:tc>
        <w:tc>
          <w:tcPr>
            <w:tcW w:w="2693" w:type="dxa"/>
            <w:vAlign w:val="center"/>
          </w:tcPr>
          <w:p w14:paraId="3B48A9D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基于物质流分析的建筑垃圾产生量预测</w:t>
            </w:r>
          </w:p>
        </w:tc>
        <w:tc>
          <w:tcPr>
            <w:tcW w:w="856" w:type="dxa"/>
            <w:vAlign w:val="center"/>
          </w:tcPr>
          <w:p w14:paraId="6DA7B87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565CFC5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484924D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w:t>
            </w:r>
            <w:r>
              <w:rPr>
                <w:rFonts w:ascii="Times New Roman" w:eastAsia="仿宋_GB2312" w:hAnsi="Times New Roman" w:cs="Times New Roman"/>
                <w:bCs/>
              </w:rPr>
              <w:lastRenderedPageBreak/>
              <w:t>技术学报</w:t>
            </w:r>
          </w:p>
        </w:tc>
        <w:tc>
          <w:tcPr>
            <w:tcW w:w="1276" w:type="dxa"/>
            <w:vAlign w:val="center"/>
          </w:tcPr>
          <w:p w14:paraId="39163AE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 2021,11(05)</w:t>
            </w:r>
          </w:p>
        </w:tc>
        <w:tc>
          <w:tcPr>
            <w:tcW w:w="1609" w:type="dxa"/>
            <w:vAlign w:val="center"/>
          </w:tcPr>
          <w:p w14:paraId="24DE3C4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7CBB6ED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0595F623" w14:textId="77777777">
        <w:trPr>
          <w:trHeight w:val="454"/>
          <w:jc w:val="center"/>
        </w:trPr>
        <w:tc>
          <w:tcPr>
            <w:tcW w:w="421" w:type="dxa"/>
            <w:vAlign w:val="center"/>
          </w:tcPr>
          <w:p w14:paraId="3ACF8AC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18</w:t>
            </w:r>
          </w:p>
        </w:tc>
        <w:tc>
          <w:tcPr>
            <w:tcW w:w="2693" w:type="dxa"/>
            <w:vAlign w:val="center"/>
          </w:tcPr>
          <w:p w14:paraId="470CD06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废晶硅</w:t>
            </w:r>
            <w:proofErr w:type="gramEnd"/>
            <w:r>
              <w:rPr>
                <w:rFonts w:ascii="Times New Roman" w:eastAsia="仿宋_GB2312" w:hAnsi="Times New Roman" w:cs="Times New Roman"/>
                <w:bCs/>
              </w:rPr>
              <w:t>太阳能电池资源化分类回收技术研究</w:t>
            </w:r>
          </w:p>
        </w:tc>
        <w:tc>
          <w:tcPr>
            <w:tcW w:w="856" w:type="dxa"/>
            <w:vAlign w:val="center"/>
          </w:tcPr>
          <w:p w14:paraId="51A4223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20C24CB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5904BD3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环境污染与防治</w:t>
            </w:r>
          </w:p>
        </w:tc>
        <w:tc>
          <w:tcPr>
            <w:tcW w:w="1276" w:type="dxa"/>
            <w:vAlign w:val="center"/>
          </w:tcPr>
          <w:p w14:paraId="25DB2F6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2020,42(06)</w:t>
            </w:r>
          </w:p>
        </w:tc>
        <w:tc>
          <w:tcPr>
            <w:tcW w:w="1609" w:type="dxa"/>
            <w:vAlign w:val="center"/>
          </w:tcPr>
          <w:p w14:paraId="64B5A4F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27871DF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5CC78DA" w14:textId="77777777">
        <w:trPr>
          <w:trHeight w:val="454"/>
          <w:jc w:val="center"/>
        </w:trPr>
        <w:tc>
          <w:tcPr>
            <w:tcW w:w="421" w:type="dxa"/>
            <w:vAlign w:val="center"/>
          </w:tcPr>
          <w:p w14:paraId="651048E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19</w:t>
            </w:r>
          </w:p>
        </w:tc>
        <w:tc>
          <w:tcPr>
            <w:tcW w:w="2693" w:type="dxa"/>
            <w:vAlign w:val="center"/>
          </w:tcPr>
          <w:p w14:paraId="3CCA660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废光伏</w:t>
            </w:r>
            <w:proofErr w:type="gramEnd"/>
            <w:r>
              <w:rPr>
                <w:rFonts w:ascii="Times New Roman" w:eastAsia="仿宋_GB2312" w:hAnsi="Times New Roman" w:cs="Times New Roman"/>
                <w:bCs/>
              </w:rPr>
              <w:t>组件乙烯</w:t>
            </w:r>
            <w:r>
              <w:rPr>
                <w:rFonts w:ascii="Times New Roman" w:eastAsia="仿宋_GB2312" w:hAnsi="Times New Roman" w:cs="Times New Roman"/>
                <w:bCs/>
              </w:rPr>
              <w:t>-</w:t>
            </w:r>
            <w:r>
              <w:rPr>
                <w:rFonts w:ascii="Times New Roman" w:eastAsia="仿宋_GB2312" w:hAnsi="Times New Roman" w:cs="Times New Roman"/>
                <w:bCs/>
              </w:rPr>
              <w:t>醋酸乙烯酯共聚物热解研究</w:t>
            </w:r>
          </w:p>
        </w:tc>
        <w:tc>
          <w:tcPr>
            <w:tcW w:w="856" w:type="dxa"/>
            <w:vAlign w:val="center"/>
          </w:tcPr>
          <w:p w14:paraId="3BB890F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329DB0E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697E2E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环境污染与防治</w:t>
            </w:r>
            <w:r>
              <w:rPr>
                <w:rFonts w:ascii="Times New Roman" w:eastAsia="仿宋_GB2312" w:hAnsi="Times New Roman" w:cs="Times New Roman"/>
                <w:bCs/>
              </w:rPr>
              <w:t> </w:t>
            </w:r>
          </w:p>
        </w:tc>
        <w:tc>
          <w:tcPr>
            <w:tcW w:w="1276" w:type="dxa"/>
            <w:vAlign w:val="center"/>
          </w:tcPr>
          <w:p w14:paraId="6BE8D47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2020,42(10)</w:t>
            </w:r>
          </w:p>
        </w:tc>
        <w:tc>
          <w:tcPr>
            <w:tcW w:w="1609" w:type="dxa"/>
            <w:vAlign w:val="center"/>
          </w:tcPr>
          <w:p w14:paraId="5E2ADE0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2D955AE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7CCC19F4" w14:textId="77777777">
        <w:trPr>
          <w:trHeight w:val="454"/>
          <w:jc w:val="center"/>
        </w:trPr>
        <w:tc>
          <w:tcPr>
            <w:tcW w:w="421" w:type="dxa"/>
            <w:vAlign w:val="center"/>
          </w:tcPr>
          <w:p w14:paraId="20451A7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w:t>
            </w:r>
          </w:p>
        </w:tc>
        <w:tc>
          <w:tcPr>
            <w:tcW w:w="2693" w:type="dxa"/>
            <w:vAlign w:val="center"/>
          </w:tcPr>
          <w:p w14:paraId="1615F85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我国制糖工业水污染</w:t>
            </w:r>
            <w:proofErr w:type="gramStart"/>
            <w:r>
              <w:rPr>
                <w:rFonts w:ascii="Times New Roman" w:eastAsia="仿宋_GB2312" w:hAnsi="Times New Roman" w:cs="Times New Roman"/>
                <w:bCs/>
              </w:rPr>
              <w:t>物减排潜力</w:t>
            </w:r>
            <w:proofErr w:type="gramEnd"/>
            <w:r>
              <w:rPr>
                <w:rFonts w:ascii="Times New Roman" w:eastAsia="仿宋_GB2312" w:hAnsi="Times New Roman" w:cs="Times New Roman"/>
                <w:bCs/>
              </w:rPr>
              <w:t>分析及建议</w:t>
            </w:r>
          </w:p>
        </w:tc>
        <w:tc>
          <w:tcPr>
            <w:tcW w:w="856" w:type="dxa"/>
            <w:vAlign w:val="center"/>
          </w:tcPr>
          <w:p w14:paraId="63E4EDA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刘景洋</w:t>
            </w:r>
          </w:p>
        </w:tc>
        <w:tc>
          <w:tcPr>
            <w:tcW w:w="708" w:type="dxa"/>
          </w:tcPr>
          <w:p w14:paraId="607E2DE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3B3077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现代化工</w:t>
            </w:r>
            <w:r>
              <w:rPr>
                <w:rFonts w:ascii="Times New Roman" w:eastAsia="仿宋_GB2312" w:hAnsi="Times New Roman" w:cs="Times New Roman"/>
                <w:bCs/>
              </w:rPr>
              <w:t> </w:t>
            </w:r>
          </w:p>
        </w:tc>
        <w:tc>
          <w:tcPr>
            <w:tcW w:w="1276" w:type="dxa"/>
            <w:vAlign w:val="center"/>
          </w:tcPr>
          <w:p w14:paraId="66338F8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2020,40(12)</w:t>
            </w:r>
          </w:p>
        </w:tc>
        <w:tc>
          <w:tcPr>
            <w:tcW w:w="1609" w:type="dxa"/>
            <w:vAlign w:val="center"/>
          </w:tcPr>
          <w:p w14:paraId="6315A8D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50FC5EC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7C0330BE" w14:textId="77777777">
        <w:trPr>
          <w:trHeight w:val="454"/>
          <w:jc w:val="center"/>
        </w:trPr>
        <w:tc>
          <w:tcPr>
            <w:tcW w:w="421" w:type="dxa"/>
            <w:vAlign w:val="center"/>
          </w:tcPr>
          <w:p w14:paraId="3D0CB1E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21</w:t>
            </w:r>
          </w:p>
        </w:tc>
        <w:tc>
          <w:tcPr>
            <w:tcW w:w="2693" w:type="dxa"/>
            <w:vAlign w:val="center"/>
          </w:tcPr>
          <w:p w14:paraId="2B11EC5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A multi-objective nonlinear planning model of biomass power generation for supporting subsidy policies optimization</w:t>
            </w:r>
          </w:p>
        </w:tc>
        <w:tc>
          <w:tcPr>
            <w:tcW w:w="856" w:type="dxa"/>
            <w:vAlign w:val="center"/>
          </w:tcPr>
          <w:p w14:paraId="69A3D3D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spellStart"/>
            <w:r>
              <w:rPr>
                <w:rFonts w:ascii="Times New Roman" w:eastAsia="仿宋_GB2312" w:hAnsi="Times New Roman" w:cs="Times New Roman"/>
                <w:bCs/>
              </w:rPr>
              <w:t>Lv</w:t>
            </w:r>
            <w:proofErr w:type="spellEnd"/>
            <w:r>
              <w:rPr>
                <w:rFonts w:ascii="Times New Roman" w:eastAsia="仿宋_GB2312" w:hAnsi="Times New Roman" w:cs="Times New Roman"/>
                <w:bCs/>
              </w:rPr>
              <w:t xml:space="preserve"> </w:t>
            </w:r>
            <w:proofErr w:type="spellStart"/>
            <w:r>
              <w:rPr>
                <w:rFonts w:ascii="Times New Roman" w:eastAsia="仿宋_GB2312" w:hAnsi="Times New Roman" w:cs="Times New Roman"/>
                <w:bCs/>
              </w:rPr>
              <w:t>Lianhong</w:t>
            </w:r>
            <w:proofErr w:type="spellEnd"/>
          </w:p>
        </w:tc>
        <w:tc>
          <w:tcPr>
            <w:tcW w:w="708" w:type="dxa"/>
            <w:vAlign w:val="center"/>
          </w:tcPr>
          <w:p w14:paraId="4D03A97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0890E7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Energy Reports</w:t>
            </w:r>
          </w:p>
        </w:tc>
        <w:tc>
          <w:tcPr>
            <w:tcW w:w="1276" w:type="dxa"/>
            <w:vAlign w:val="center"/>
          </w:tcPr>
          <w:p w14:paraId="44FC31E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2021(7)</w:t>
            </w:r>
          </w:p>
        </w:tc>
        <w:tc>
          <w:tcPr>
            <w:tcW w:w="1609" w:type="dxa"/>
            <w:vAlign w:val="center"/>
          </w:tcPr>
          <w:p w14:paraId="1A13933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33A08135" w14:textId="77777777">
        <w:trPr>
          <w:trHeight w:val="454"/>
          <w:jc w:val="center"/>
        </w:trPr>
        <w:tc>
          <w:tcPr>
            <w:tcW w:w="421" w:type="dxa"/>
            <w:vAlign w:val="center"/>
          </w:tcPr>
          <w:p w14:paraId="2171D6B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22</w:t>
            </w:r>
          </w:p>
        </w:tc>
        <w:tc>
          <w:tcPr>
            <w:tcW w:w="2693" w:type="dxa"/>
            <w:vAlign w:val="center"/>
          </w:tcPr>
          <w:p w14:paraId="274727B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面向区域大气环境质量改善的京津冀及周边地区产业结构评估与优化建议</w:t>
            </w:r>
          </w:p>
        </w:tc>
        <w:tc>
          <w:tcPr>
            <w:tcW w:w="856" w:type="dxa"/>
            <w:vAlign w:val="center"/>
          </w:tcPr>
          <w:p w14:paraId="6FCA526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3FC8B7A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23A40F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5FDBC9A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2020,10(04)</w:t>
            </w:r>
          </w:p>
        </w:tc>
        <w:tc>
          <w:tcPr>
            <w:tcW w:w="1609" w:type="dxa"/>
            <w:vAlign w:val="center"/>
          </w:tcPr>
          <w:p w14:paraId="0DD4F2A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3D6DAD5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76ECDB9" w14:textId="77777777">
        <w:trPr>
          <w:trHeight w:val="454"/>
          <w:jc w:val="center"/>
        </w:trPr>
        <w:tc>
          <w:tcPr>
            <w:tcW w:w="421" w:type="dxa"/>
            <w:vAlign w:val="center"/>
          </w:tcPr>
          <w:p w14:paraId="2F899F7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23</w:t>
            </w:r>
          </w:p>
        </w:tc>
        <w:tc>
          <w:tcPr>
            <w:tcW w:w="2693" w:type="dxa"/>
            <w:vAlign w:val="center"/>
          </w:tcPr>
          <w:p w14:paraId="4DB7E14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基于多目标非线性规划的生物质发电补贴政策优化与应用</w:t>
            </w:r>
          </w:p>
        </w:tc>
        <w:tc>
          <w:tcPr>
            <w:tcW w:w="856" w:type="dxa"/>
            <w:vAlign w:val="center"/>
          </w:tcPr>
          <w:p w14:paraId="2249AE4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7FB03CB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71772D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干旱区资源与环境</w:t>
            </w:r>
          </w:p>
        </w:tc>
        <w:tc>
          <w:tcPr>
            <w:tcW w:w="1276" w:type="dxa"/>
            <w:vAlign w:val="center"/>
          </w:tcPr>
          <w:p w14:paraId="499E24F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2020,34(12)</w:t>
            </w:r>
          </w:p>
        </w:tc>
        <w:tc>
          <w:tcPr>
            <w:tcW w:w="1609" w:type="dxa"/>
            <w:vAlign w:val="center"/>
          </w:tcPr>
          <w:p w14:paraId="52FDA0D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670FB13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CSSCI</w:t>
            </w:r>
          </w:p>
          <w:p w14:paraId="600E80C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04BEAA57" w14:textId="77777777">
        <w:trPr>
          <w:trHeight w:val="454"/>
          <w:jc w:val="center"/>
        </w:trPr>
        <w:tc>
          <w:tcPr>
            <w:tcW w:w="421" w:type="dxa"/>
            <w:vAlign w:val="center"/>
          </w:tcPr>
          <w:p w14:paraId="60D708F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24</w:t>
            </w:r>
          </w:p>
        </w:tc>
        <w:tc>
          <w:tcPr>
            <w:tcW w:w="2693" w:type="dxa"/>
            <w:vAlign w:val="center"/>
          </w:tcPr>
          <w:p w14:paraId="34801F5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中国能源消费、经济增长与碳排放之间的动态关系</w:t>
            </w:r>
          </w:p>
        </w:tc>
        <w:tc>
          <w:tcPr>
            <w:tcW w:w="856" w:type="dxa"/>
            <w:vAlign w:val="center"/>
          </w:tcPr>
          <w:p w14:paraId="323EE8C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3274FF8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4D7B7A5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151234F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2021,34(06)</w:t>
            </w:r>
          </w:p>
        </w:tc>
        <w:tc>
          <w:tcPr>
            <w:tcW w:w="1609" w:type="dxa"/>
            <w:vAlign w:val="center"/>
          </w:tcPr>
          <w:p w14:paraId="76862F1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14C92C8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6796CA42" w14:textId="77777777">
        <w:trPr>
          <w:trHeight w:val="454"/>
          <w:jc w:val="center"/>
        </w:trPr>
        <w:tc>
          <w:tcPr>
            <w:tcW w:w="421" w:type="dxa"/>
            <w:vAlign w:val="center"/>
          </w:tcPr>
          <w:p w14:paraId="219976E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25</w:t>
            </w:r>
          </w:p>
        </w:tc>
        <w:tc>
          <w:tcPr>
            <w:tcW w:w="2693" w:type="dxa"/>
            <w:vAlign w:val="center"/>
          </w:tcPr>
          <w:p w14:paraId="1773C86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京津</w:t>
            </w:r>
            <w:proofErr w:type="gramStart"/>
            <w:r>
              <w:rPr>
                <w:rFonts w:ascii="Times New Roman" w:eastAsia="仿宋_GB2312" w:hAnsi="Times New Roman" w:cs="Times New Roman"/>
                <w:bCs/>
              </w:rPr>
              <w:t>冀区域</w:t>
            </w:r>
            <w:proofErr w:type="gramEnd"/>
            <w:r>
              <w:rPr>
                <w:rFonts w:ascii="Times New Roman" w:eastAsia="仿宋_GB2312" w:hAnsi="Times New Roman" w:cs="Times New Roman"/>
                <w:bCs/>
              </w:rPr>
              <w:t>清洁取暖的支付意愿和影响因素</w:t>
            </w:r>
          </w:p>
        </w:tc>
        <w:tc>
          <w:tcPr>
            <w:tcW w:w="856" w:type="dxa"/>
            <w:vAlign w:val="center"/>
          </w:tcPr>
          <w:p w14:paraId="4FDBBF4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3C45F8E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36ACE9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w:t>
            </w:r>
          </w:p>
        </w:tc>
        <w:tc>
          <w:tcPr>
            <w:tcW w:w="1276" w:type="dxa"/>
            <w:vAlign w:val="center"/>
          </w:tcPr>
          <w:p w14:paraId="13858AA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2021,41(01)</w:t>
            </w:r>
          </w:p>
        </w:tc>
        <w:tc>
          <w:tcPr>
            <w:tcW w:w="1609" w:type="dxa"/>
            <w:vAlign w:val="center"/>
          </w:tcPr>
          <w:p w14:paraId="0524B07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6B92748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EI</w:t>
            </w:r>
          </w:p>
          <w:p w14:paraId="6C8C90A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E89F95D" w14:textId="77777777">
        <w:trPr>
          <w:trHeight w:val="454"/>
          <w:jc w:val="center"/>
        </w:trPr>
        <w:tc>
          <w:tcPr>
            <w:tcW w:w="421" w:type="dxa"/>
            <w:vAlign w:val="center"/>
          </w:tcPr>
          <w:p w14:paraId="1EDA339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26</w:t>
            </w:r>
          </w:p>
        </w:tc>
        <w:tc>
          <w:tcPr>
            <w:tcW w:w="2693" w:type="dxa"/>
            <w:vAlign w:val="center"/>
          </w:tcPr>
          <w:p w14:paraId="33FA447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农村居民</w:t>
            </w:r>
            <w:proofErr w:type="gramStart"/>
            <w:r>
              <w:rPr>
                <w:rFonts w:ascii="Times New Roman" w:eastAsia="仿宋_GB2312" w:hAnsi="Times New Roman" w:cs="Times New Roman"/>
                <w:bCs/>
              </w:rPr>
              <w:t>生活碳达峰</w:t>
            </w:r>
            <w:proofErr w:type="gramEnd"/>
            <w:r>
              <w:rPr>
                <w:rFonts w:ascii="Times New Roman" w:eastAsia="仿宋_GB2312" w:hAnsi="Times New Roman" w:cs="Times New Roman"/>
                <w:bCs/>
              </w:rPr>
              <w:t>路径及对策</w:t>
            </w:r>
          </w:p>
        </w:tc>
        <w:tc>
          <w:tcPr>
            <w:tcW w:w="856" w:type="dxa"/>
            <w:vAlign w:val="center"/>
          </w:tcPr>
          <w:p w14:paraId="2321081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4540D83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3B378B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772BE4C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2021,34(09)</w:t>
            </w:r>
          </w:p>
        </w:tc>
        <w:tc>
          <w:tcPr>
            <w:tcW w:w="1609" w:type="dxa"/>
            <w:vAlign w:val="center"/>
          </w:tcPr>
          <w:p w14:paraId="69F51C6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7B509C5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3C0B367" w14:textId="77777777">
        <w:trPr>
          <w:trHeight w:val="454"/>
          <w:jc w:val="center"/>
        </w:trPr>
        <w:tc>
          <w:tcPr>
            <w:tcW w:w="421" w:type="dxa"/>
            <w:vAlign w:val="center"/>
          </w:tcPr>
          <w:p w14:paraId="6E303D2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27</w:t>
            </w:r>
          </w:p>
        </w:tc>
        <w:tc>
          <w:tcPr>
            <w:tcW w:w="2693" w:type="dxa"/>
            <w:vAlign w:val="center"/>
          </w:tcPr>
          <w:p w14:paraId="4BA5D46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中国碳达峰</w:t>
            </w:r>
            <w:proofErr w:type="gramEnd"/>
            <w:r>
              <w:rPr>
                <w:rFonts w:ascii="Times New Roman" w:eastAsia="仿宋_GB2312" w:hAnsi="Times New Roman" w:cs="Times New Roman"/>
                <w:bCs/>
              </w:rPr>
              <w:t>路径的</w:t>
            </w:r>
            <w:r>
              <w:rPr>
                <w:rFonts w:ascii="Times New Roman" w:eastAsia="仿宋_GB2312" w:hAnsi="Times New Roman" w:cs="Times New Roman"/>
                <w:bCs/>
              </w:rPr>
              <w:t>Meta</w:t>
            </w:r>
            <w:r>
              <w:rPr>
                <w:rFonts w:ascii="Times New Roman" w:eastAsia="仿宋_GB2312" w:hAnsi="Times New Roman" w:cs="Times New Roman"/>
                <w:bCs/>
              </w:rPr>
              <w:t>回归分析</w:t>
            </w:r>
          </w:p>
        </w:tc>
        <w:tc>
          <w:tcPr>
            <w:tcW w:w="856" w:type="dxa"/>
            <w:vAlign w:val="center"/>
          </w:tcPr>
          <w:p w14:paraId="33D192D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09FAF06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7AE5CFB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5D5ED56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2021,34(09)</w:t>
            </w:r>
          </w:p>
        </w:tc>
        <w:tc>
          <w:tcPr>
            <w:tcW w:w="1609" w:type="dxa"/>
            <w:vAlign w:val="center"/>
          </w:tcPr>
          <w:p w14:paraId="1A2DD18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6ACBB3E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CD98CF0" w14:textId="77777777">
        <w:trPr>
          <w:trHeight w:val="454"/>
          <w:jc w:val="center"/>
        </w:trPr>
        <w:tc>
          <w:tcPr>
            <w:tcW w:w="421" w:type="dxa"/>
            <w:vAlign w:val="center"/>
          </w:tcPr>
          <w:p w14:paraId="32AF493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28</w:t>
            </w:r>
          </w:p>
        </w:tc>
        <w:tc>
          <w:tcPr>
            <w:tcW w:w="2693" w:type="dxa"/>
            <w:vAlign w:val="center"/>
          </w:tcPr>
          <w:p w14:paraId="099891C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基于多目标模型的中国</w:t>
            </w:r>
            <w:proofErr w:type="gramStart"/>
            <w:r>
              <w:rPr>
                <w:rFonts w:ascii="Times New Roman" w:eastAsia="仿宋_GB2312" w:hAnsi="Times New Roman" w:cs="Times New Roman"/>
                <w:bCs/>
              </w:rPr>
              <w:t>低成本碳达峰</w:t>
            </w:r>
            <w:proofErr w:type="gramEnd"/>
            <w:r>
              <w:rPr>
                <w:rFonts w:ascii="Times New Roman" w:eastAsia="仿宋_GB2312" w:hAnsi="Times New Roman" w:cs="Times New Roman"/>
                <w:bCs/>
              </w:rPr>
              <w:t>、碳中和路径</w:t>
            </w:r>
          </w:p>
        </w:tc>
        <w:tc>
          <w:tcPr>
            <w:tcW w:w="856" w:type="dxa"/>
            <w:vAlign w:val="center"/>
          </w:tcPr>
          <w:p w14:paraId="3D1E68F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52ADE9D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74F04DE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41E928E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2021,34(09)</w:t>
            </w:r>
          </w:p>
        </w:tc>
        <w:tc>
          <w:tcPr>
            <w:tcW w:w="1609" w:type="dxa"/>
            <w:vAlign w:val="center"/>
          </w:tcPr>
          <w:p w14:paraId="28D2F02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3F54A20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42301B8E" w14:textId="77777777">
        <w:trPr>
          <w:trHeight w:val="454"/>
          <w:jc w:val="center"/>
        </w:trPr>
        <w:tc>
          <w:tcPr>
            <w:tcW w:w="421" w:type="dxa"/>
            <w:vAlign w:val="center"/>
          </w:tcPr>
          <w:p w14:paraId="3100A03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29</w:t>
            </w:r>
          </w:p>
        </w:tc>
        <w:tc>
          <w:tcPr>
            <w:tcW w:w="2693" w:type="dxa"/>
            <w:vAlign w:val="center"/>
          </w:tcPr>
          <w:p w14:paraId="000F2D5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基于政策工具的中国生物质发电补贴政策评估</w:t>
            </w:r>
          </w:p>
        </w:tc>
        <w:tc>
          <w:tcPr>
            <w:tcW w:w="856" w:type="dxa"/>
            <w:vAlign w:val="center"/>
          </w:tcPr>
          <w:p w14:paraId="614AD71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吕连宏</w:t>
            </w:r>
          </w:p>
        </w:tc>
        <w:tc>
          <w:tcPr>
            <w:tcW w:w="708" w:type="dxa"/>
            <w:vAlign w:val="center"/>
          </w:tcPr>
          <w:p w14:paraId="0F29821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466F93F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418BBFF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2021,11(06)</w:t>
            </w:r>
          </w:p>
        </w:tc>
        <w:tc>
          <w:tcPr>
            <w:tcW w:w="1609" w:type="dxa"/>
            <w:vAlign w:val="center"/>
          </w:tcPr>
          <w:p w14:paraId="294F8B9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6BAC0B0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794310CE" w14:textId="77777777">
        <w:trPr>
          <w:trHeight w:val="454"/>
          <w:jc w:val="center"/>
        </w:trPr>
        <w:tc>
          <w:tcPr>
            <w:tcW w:w="421" w:type="dxa"/>
            <w:vAlign w:val="center"/>
          </w:tcPr>
          <w:p w14:paraId="4A9DF4E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30</w:t>
            </w:r>
          </w:p>
        </w:tc>
        <w:tc>
          <w:tcPr>
            <w:tcW w:w="2693" w:type="dxa"/>
            <w:vAlign w:val="center"/>
          </w:tcPr>
          <w:p w14:paraId="28C9CF8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京津冀及周边地区清洁取暖补贴政策现状、问题与对策</w:t>
            </w:r>
          </w:p>
        </w:tc>
        <w:tc>
          <w:tcPr>
            <w:tcW w:w="856" w:type="dxa"/>
            <w:vAlign w:val="center"/>
          </w:tcPr>
          <w:p w14:paraId="612A9CE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罗宏</w:t>
            </w:r>
          </w:p>
        </w:tc>
        <w:tc>
          <w:tcPr>
            <w:tcW w:w="708" w:type="dxa"/>
            <w:vAlign w:val="center"/>
          </w:tcPr>
          <w:p w14:paraId="3AD1E1E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0D3ECD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中国环境管理</w:t>
            </w:r>
          </w:p>
        </w:tc>
        <w:tc>
          <w:tcPr>
            <w:tcW w:w="1276" w:type="dxa"/>
            <w:vAlign w:val="center"/>
          </w:tcPr>
          <w:p w14:paraId="7D31444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2020,12(02)</w:t>
            </w:r>
          </w:p>
        </w:tc>
        <w:tc>
          <w:tcPr>
            <w:tcW w:w="1609" w:type="dxa"/>
            <w:vAlign w:val="center"/>
          </w:tcPr>
          <w:p w14:paraId="66161C2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CSSCI</w:t>
            </w:r>
            <w:r>
              <w:rPr>
                <w:rFonts w:ascii="Times New Roman" w:eastAsia="仿宋_GB2312" w:hAnsi="Times New Roman" w:cs="Times New Roman"/>
                <w:bCs/>
              </w:rPr>
              <w:t>扩展版</w:t>
            </w:r>
          </w:p>
        </w:tc>
      </w:tr>
      <w:tr w:rsidR="00AB51C8" w14:paraId="0F24AE9D" w14:textId="77777777">
        <w:trPr>
          <w:trHeight w:val="454"/>
          <w:jc w:val="center"/>
        </w:trPr>
        <w:tc>
          <w:tcPr>
            <w:tcW w:w="421" w:type="dxa"/>
            <w:vAlign w:val="center"/>
          </w:tcPr>
          <w:p w14:paraId="1CE8ACB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31</w:t>
            </w:r>
          </w:p>
        </w:tc>
        <w:tc>
          <w:tcPr>
            <w:tcW w:w="2693" w:type="dxa"/>
            <w:vAlign w:val="center"/>
          </w:tcPr>
          <w:p w14:paraId="2536C85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Toward an Ecological Civilization: China’s Progress as Documented by the Second National General Survey of Pollution Sources</w:t>
            </w:r>
          </w:p>
        </w:tc>
        <w:tc>
          <w:tcPr>
            <w:tcW w:w="856" w:type="dxa"/>
            <w:vAlign w:val="center"/>
          </w:tcPr>
          <w:p w14:paraId="41AF8B1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spellStart"/>
            <w:r>
              <w:rPr>
                <w:rFonts w:ascii="Times New Roman" w:eastAsia="仿宋_GB2312" w:hAnsi="Times New Roman" w:cs="Times New Roman"/>
                <w:bCs/>
              </w:rPr>
              <w:t>Minghui</w:t>
            </w:r>
            <w:proofErr w:type="spellEnd"/>
            <w:r>
              <w:rPr>
                <w:rFonts w:ascii="Times New Roman" w:eastAsia="仿宋_GB2312" w:hAnsi="Times New Roman" w:cs="Times New Roman"/>
                <w:bCs/>
              </w:rPr>
              <w:t xml:space="preserve"> </w:t>
            </w:r>
            <w:proofErr w:type="spellStart"/>
            <w:r>
              <w:rPr>
                <w:rFonts w:ascii="Times New Roman" w:eastAsia="仿宋_GB2312" w:hAnsi="Times New Roman" w:cs="Times New Roman"/>
                <w:bCs/>
              </w:rPr>
              <w:t>Xie</w:t>
            </w:r>
            <w:proofErr w:type="spellEnd"/>
          </w:p>
        </w:tc>
        <w:tc>
          <w:tcPr>
            <w:tcW w:w="708" w:type="dxa"/>
            <w:vAlign w:val="center"/>
          </w:tcPr>
          <w:p w14:paraId="0678C08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第一作者</w:t>
            </w:r>
          </w:p>
        </w:tc>
        <w:tc>
          <w:tcPr>
            <w:tcW w:w="851" w:type="dxa"/>
            <w:vAlign w:val="center"/>
          </w:tcPr>
          <w:p w14:paraId="617E276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Engineering</w:t>
            </w:r>
          </w:p>
        </w:tc>
        <w:tc>
          <w:tcPr>
            <w:tcW w:w="1276" w:type="dxa"/>
            <w:vAlign w:val="center"/>
          </w:tcPr>
          <w:p w14:paraId="3FBB3F2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2021,7</w:t>
            </w:r>
          </w:p>
        </w:tc>
        <w:tc>
          <w:tcPr>
            <w:tcW w:w="1609" w:type="dxa"/>
            <w:vAlign w:val="center"/>
          </w:tcPr>
          <w:p w14:paraId="0D72FB7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601D74D1" w14:textId="77777777">
        <w:trPr>
          <w:trHeight w:val="454"/>
          <w:jc w:val="center"/>
        </w:trPr>
        <w:tc>
          <w:tcPr>
            <w:tcW w:w="421" w:type="dxa"/>
            <w:vAlign w:val="center"/>
          </w:tcPr>
          <w:p w14:paraId="0D4B75F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32</w:t>
            </w:r>
          </w:p>
        </w:tc>
        <w:tc>
          <w:tcPr>
            <w:tcW w:w="2693" w:type="dxa"/>
            <w:vAlign w:val="center"/>
          </w:tcPr>
          <w:p w14:paraId="22F9F9D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Life cycle assessment and life cycle cost analysis of a 40 MW wind farm with consideration of the infrastructure</w:t>
            </w:r>
          </w:p>
        </w:tc>
        <w:tc>
          <w:tcPr>
            <w:tcW w:w="856" w:type="dxa"/>
            <w:vAlign w:val="center"/>
          </w:tcPr>
          <w:p w14:paraId="6AF1CCB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spellStart"/>
            <w:r>
              <w:rPr>
                <w:rFonts w:ascii="Times New Roman" w:eastAsia="仿宋_GB2312" w:hAnsi="Times New Roman" w:cs="Times New Roman"/>
                <w:bCs/>
              </w:rPr>
              <w:t>Minghui</w:t>
            </w:r>
            <w:proofErr w:type="spellEnd"/>
            <w:r>
              <w:rPr>
                <w:rFonts w:ascii="Times New Roman" w:eastAsia="仿宋_GB2312" w:hAnsi="Times New Roman" w:cs="Times New Roman"/>
                <w:bCs/>
              </w:rPr>
              <w:t xml:space="preserve"> </w:t>
            </w:r>
            <w:proofErr w:type="spellStart"/>
            <w:r>
              <w:rPr>
                <w:rFonts w:ascii="Times New Roman" w:eastAsia="仿宋_GB2312" w:hAnsi="Times New Roman" w:cs="Times New Roman"/>
                <w:bCs/>
              </w:rPr>
              <w:t>Xie</w:t>
            </w:r>
            <w:proofErr w:type="spellEnd"/>
          </w:p>
        </w:tc>
        <w:tc>
          <w:tcPr>
            <w:tcW w:w="708" w:type="dxa"/>
            <w:vAlign w:val="center"/>
          </w:tcPr>
          <w:p w14:paraId="5948A4F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其他</w:t>
            </w:r>
          </w:p>
        </w:tc>
        <w:tc>
          <w:tcPr>
            <w:tcW w:w="851" w:type="dxa"/>
            <w:vAlign w:val="center"/>
          </w:tcPr>
          <w:p w14:paraId="52ED48A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Renewable and Sustainable Energy Reviews</w:t>
            </w:r>
          </w:p>
        </w:tc>
        <w:tc>
          <w:tcPr>
            <w:tcW w:w="1276" w:type="dxa"/>
            <w:vAlign w:val="center"/>
          </w:tcPr>
          <w:p w14:paraId="7409465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2021,138</w:t>
            </w:r>
          </w:p>
        </w:tc>
        <w:tc>
          <w:tcPr>
            <w:tcW w:w="1609" w:type="dxa"/>
            <w:vAlign w:val="center"/>
          </w:tcPr>
          <w:p w14:paraId="22DBAA3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26F34BD8" w14:textId="77777777">
        <w:trPr>
          <w:trHeight w:val="454"/>
          <w:jc w:val="center"/>
        </w:trPr>
        <w:tc>
          <w:tcPr>
            <w:tcW w:w="421" w:type="dxa"/>
            <w:vAlign w:val="center"/>
          </w:tcPr>
          <w:p w14:paraId="65174D4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33</w:t>
            </w:r>
          </w:p>
        </w:tc>
        <w:tc>
          <w:tcPr>
            <w:tcW w:w="2693" w:type="dxa"/>
            <w:vAlign w:val="center"/>
          </w:tcPr>
          <w:p w14:paraId="49FD082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光</w:t>
            </w:r>
            <w:proofErr w:type="gramStart"/>
            <w:r>
              <w:rPr>
                <w:rFonts w:ascii="Times New Roman" w:eastAsia="仿宋_GB2312" w:hAnsi="Times New Roman" w:cs="Times New Roman"/>
                <w:bCs/>
              </w:rPr>
              <w:t>伏行业</w:t>
            </w:r>
            <w:proofErr w:type="gramEnd"/>
            <w:r>
              <w:rPr>
                <w:rFonts w:ascii="Times New Roman" w:eastAsia="仿宋_GB2312" w:hAnsi="Times New Roman" w:cs="Times New Roman"/>
                <w:bCs/>
              </w:rPr>
              <w:t>生命周期碳排放清单分析</w:t>
            </w:r>
            <w:r>
              <w:rPr>
                <w:rFonts w:ascii="Times New Roman" w:eastAsia="仿宋_GB2312" w:hAnsi="Times New Roman" w:cs="Times New Roman"/>
                <w:bCs/>
              </w:rPr>
              <w:t xml:space="preserve"> </w:t>
            </w:r>
          </w:p>
        </w:tc>
        <w:tc>
          <w:tcPr>
            <w:tcW w:w="856" w:type="dxa"/>
            <w:vAlign w:val="center"/>
          </w:tcPr>
          <w:p w14:paraId="0B2E3B6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谢明辉</w:t>
            </w:r>
          </w:p>
        </w:tc>
        <w:tc>
          <w:tcPr>
            <w:tcW w:w="708" w:type="dxa"/>
            <w:vAlign w:val="center"/>
          </w:tcPr>
          <w:p w14:paraId="07A893B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938868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w:t>
            </w:r>
          </w:p>
        </w:tc>
        <w:tc>
          <w:tcPr>
            <w:tcW w:w="1276" w:type="dxa"/>
            <w:vAlign w:val="center"/>
          </w:tcPr>
          <w:p w14:paraId="388E1D8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2020,40(6)</w:t>
            </w:r>
          </w:p>
        </w:tc>
        <w:tc>
          <w:tcPr>
            <w:tcW w:w="1609" w:type="dxa"/>
            <w:vAlign w:val="center"/>
          </w:tcPr>
          <w:p w14:paraId="3F104D4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6F71EA0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EI</w:t>
            </w:r>
          </w:p>
          <w:p w14:paraId="002BAF5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3040558C" w14:textId="77777777">
        <w:trPr>
          <w:trHeight w:val="454"/>
          <w:jc w:val="center"/>
        </w:trPr>
        <w:tc>
          <w:tcPr>
            <w:tcW w:w="421" w:type="dxa"/>
            <w:vAlign w:val="center"/>
          </w:tcPr>
          <w:p w14:paraId="5EB154C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34</w:t>
            </w:r>
          </w:p>
        </w:tc>
        <w:tc>
          <w:tcPr>
            <w:tcW w:w="2693" w:type="dxa"/>
            <w:vAlign w:val="center"/>
          </w:tcPr>
          <w:p w14:paraId="540DCD6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考虑处置阶段的光伏组</w:t>
            </w:r>
            <w:r>
              <w:rPr>
                <w:rFonts w:ascii="Times New Roman" w:eastAsia="仿宋_GB2312" w:hAnsi="Times New Roman" w:cs="Times New Roman"/>
                <w:bCs/>
              </w:rPr>
              <w:lastRenderedPageBreak/>
              <w:t>件生命周期评价</w:t>
            </w:r>
          </w:p>
        </w:tc>
        <w:tc>
          <w:tcPr>
            <w:tcW w:w="856" w:type="dxa"/>
            <w:vAlign w:val="center"/>
          </w:tcPr>
          <w:p w14:paraId="308CC47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谢明辉</w:t>
            </w:r>
          </w:p>
        </w:tc>
        <w:tc>
          <w:tcPr>
            <w:tcW w:w="708" w:type="dxa"/>
            <w:vAlign w:val="center"/>
          </w:tcPr>
          <w:p w14:paraId="235A45A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w:t>
            </w:r>
            <w:r>
              <w:rPr>
                <w:rFonts w:ascii="Times New Roman" w:eastAsia="仿宋_GB2312" w:hAnsi="Times New Roman" w:cs="Times New Roman"/>
                <w:bCs/>
              </w:rPr>
              <w:lastRenderedPageBreak/>
              <w:t>作者</w:t>
            </w:r>
          </w:p>
        </w:tc>
        <w:tc>
          <w:tcPr>
            <w:tcW w:w="851" w:type="dxa"/>
            <w:vAlign w:val="center"/>
          </w:tcPr>
          <w:p w14:paraId="592FD10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环境</w:t>
            </w:r>
            <w:r>
              <w:rPr>
                <w:rFonts w:ascii="Times New Roman" w:eastAsia="仿宋_GB2312" w:hAnsi="Times New Roman" w:cs="Times New Roman"/>
                <w:bCs/>
              </w:rPr>
              <w:lastRenderedPageBreak/>
              <w:t>工程技术学报</w:t>
            </w:r>
          </w:p>
        </w:tc>
        <w:tc>
          <w:tcPr>
            <w:tcW w:w="1276" w:type="dxa"/>
            <w:vAlign w:val="center"/>
          </w:tcPr>
          <w:p w14:paraId="1A72781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2021,11(04)</w:t>
            </w:r>
          </w:p>
        </w:tc>
        <w:tc>
          <w:tcPr>
            <w:tcW w:w="1609" w:type="dxa"/>
            <w:vAlign w:val="center"/>
          </w:tcPr>
          <w:p w14:paraId="347705C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55260FF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中文核心期刊</w:t>
            </w:r>
          </w:p>
        </w:tc>
      </w:tr>
      <w:tr w:rsidR="00AB51C8" w14:paraId="1A1C57D2" w14:textId="77777777">
        <w:trPr>
          <w:trHeight w:val="454"/>
          <w:jc w:val="center"/>
        </w:trPr>
        <w:tc>
          <w:tcPr>
            <w:tcW w:w="421" w:type="dxa"/>
            <w:vAlign w:val="center"/>
          </w:tcPr>
          <w:p w14:paraId="2F1EA04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35</w:t>
            </w:r>
          </w:p>
        </w:tc>
        <w:tc>
          <w:tcPr>
            <w:tcW w:w="2693" w:type="dxa"/>
            <w:vAlign w:val="center"/>
          </w:tcPr>
          <w:p w14:paraId="44F74AB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我国终点型生命周期影响评价模型及基准值初步研究</w:t>
            </w:r>
          </w:p>
        </w:tc>
        <w:tc>
          <w:tcPr>
            <w:tcW w:w="856" w:type="dxa"/>
            <w:vAlign w:val="center"/>
          </w:tcPr>
          <w:p w14:paraId="5DF910B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谢明辉</w:t>
            </w:r>
          </w:p>
        </w:tc>
        <w:tc>
          <w:tcPr>
            <w:tcW w:w="708" w:type="dxa"/>
            <w:vAlign w:val="center"/>
          </w:tcPr>
          <w:p w14:paraId="3702061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3B10F4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1AA4E07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2021,34(11)</w:t>
            </w:r>
          </w:p>
        </w:tc>
        <w:tc>
          <w:tcPr>
            <w:tcW w:w="1609" w:type="dxa"/>
            <w:vAlign w:val="center"/>
          </w:tcPr>
          <w:p w14:paraId="42448A8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5A84221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5859B1CF" w14:textId="77777777">
        <w:trPr>
          <w:trHeight w:val="454"/>
          <w:jc w:val="center"/>
        </w:trPr>
        <w:tc>
          <w:tcPr>
            <w:tcW w:w="421" w:type="dxa"/>
            <w:vAlign w:val="center"/>
          </w:tcPr>
          <w:p w14:paraId="4C61E51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36</w:t>
            </w:r>
          </w:p>
        </w:tc>
        <w:tc>
          <w:tcPr>
            <w:tcW w:w="2693" w:type="dxa"/>
            <w:vAlign w:val="center"/>
          </w:tcPr>
          <w:p w14:paraId="629F4A7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天山北坡经济带经济发展与污染减</w:t>
            </w:r>
            <w:proofErr w:type="gramStart"/>
            <w:r>
              <w:rPr>
                <w:rFonts w:ascii="Times New Roman" w:eastAsia="仿宋_GB2312" w:hAnsi="Times New Roman" w:cs="Times New Roman"/>
                <w:bCs/>
              </w:rPr>
              <w:t>排潜力</w:t>
            </w:r>
            <w:proofErr w:type="gramEnd"/>
            <w:r>
              <w:rPr>
                <w:rFonts w:ascii="Times New Roman" w:eastAsia="仿宋_GB2312" w:hAnsi="Times New Roman" w:cs="Times New Roman"/>
                <w:bCs/>
              </w:rPr>
              <w:t>以及工业绿色发展策略</w:t>
            </w:r>
          </w:p>
        </w:tc>
        <w:tc>
          <w:tcPr>
            <w:tcW w:w="856" w:type="dxa"/>
            <w:vAlign w:val="center"/>
          </w:tcPr>
          <w:p w14:paraId="13F9D67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谢明辉</w:t>
            </w:r>
          </w:p>
        </w:tc>
        <w:tc>
          <w:tcPr>
            <w:tcW w:w="708" w:type="dxa"/>
            <w:vAlign w:val="center"/>
          </w:tcPr>
          <w:p w14:paraId="72A61F8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A15292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48D8C19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2020,33(2)</w:t>
            </w:r>
          </w:p>
        </w:tc>
        <w:tc>
          <w:tcPr>
            <w:tcW w:w="1609" w:type="dxa"/>
            <w:vAlign w:val="center"/>
          </w:tcPr>
          <w:p w14:paraId="3E86AFF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5018895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678C18D9" w14:textId="77777777">
        <w:trPr>
          <w:trHeight w:val="454"/>
          <w:jc w:val="center"/>
        </w:trPr>
        <w:tc>
          <w:tcPr>
            <w:tcW w:w="421" w:type="dxa"/>
            <w:vAlign w:val="center"/>
          </w:tcPr>
          <w:p w14:paraId="04073EE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37</w:t>
            </w:r>
          </w:p>
        </w:tc>
        <w:tc>
          <w:tcPr>
            <w:tcW w:w="2693" w:type="dxa"/>
            <w:vAlign w:val="center"/>
          </w:tcPr>
          <w:p w14:paraId="2505ACB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Toward an Ecological Civilization: China’s Progress as Documented by the Second National General Survey of Pollution Sources</w:t>
            </w:r>
          </w:p>
        </w:tc>
        <w:tc>
          <w:tcPr>
            <w:tcW w:w="856" w:type="dxa"/>
            <w:vAlign w:val="center"/>
          </w:tcPr>
          <w:p w14:paraId="65BFBF2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Qi </w:t>
            </w:r>
            <w:proofErr w:type="spellStart"/>
            <w:r>
              <w:rPr>
                <w:rFonts w:ascii="Times New Roman" w:eastAsia="仿宋_GB2312" w:hAnsi="Times New Roman" w:cs="Times New Roman"/>
                <w:bCs/>
              </w:rPr>
              <w:t>Qiao</w:t>
            </w:r>
            <w:proofErr w:type="spellEnd"/>
          </w:p>
        </w:tc>
        <w:tc>
          <w:tcPr>
            <w:tcW w:w="708" w:type="dxa"/>
            <w:vAlign w:val="center"/>
          </w:tcPr>
          <w:p w14:paraId="0815DAE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497B49D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Engineering</w:t>
            </w:r>
          </w:p>
        </w:tc>
        <w:tc>
          <w:tcPr>
            <w:tcW w:w="1276" w:type="dxa"/>
            <w:vAlign w:val="center"/>
          </w:tcPr>
          <w:p w14:paraId="19CCEEB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2021,1336-1341</w:t>
            </w:r>
          </w:p>
        </w:tc>
        <w:tc>
          <w:tcPr>
            <w:tcW w:w="1609" w:type="dxa"/>
            <w:vAlign w:val="center"/>
          </w:tcPr>
          <w:p w14:paraId="65ED9C2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12650C4A" w14:textId="77777777">
        <w:trPr>
          <w:trHeight w:val="454"/>
          <w:jc w:val="center"/>
        </w:trPr>
        <w:tc>
          <w:tcPr>
            <w:tcW w:w="421" w:type="dxa"/>
            <w:vAlign w:val="center"/>
          </w:tcPr>
          <w:p w14:paraId="04A21BC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38</w:t>
            </w:r>
          </w:p>
        </w:tc>
        <w:tc>
          <w:tcPr>
            <w:tcW w:w="2693" w:type="dxa"/>
            <w:vAlign w:val="center"/>
          </w:tcPr>
          <w:p w14:paraId="5A100D5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Anthropogenic total phosphorus emissions to the </w:t>
            </w:r>
            <w:proofErr w:type="spellStart"/>
            <w:r>
              <w:rPr>
                <w:rFonts w:ascii="Times New Roman" w:eastAsia="仿宋_GB2312" w:hAnsi="Times New Roman" w:cs="Times New Roman"/>
                <w:bCs/>
              </w:rPr>
              <w:t>Tuojiang</w:t>
            </w:r>
            <w:proofErr w:type="spellEnd"/>
            <w:r>
              <w:rPr>
                <w:rFonts w:ascii="Times New Roman" w:eastAsia="仿宋_GB2312" w:hAnsi="Times New Roman" w:cs="Times New Roman"/>
                <w:bCs/>
              </w:rPr>
              <w:t xml:space="preserve"> River Basin, China</w:t>
            </w:r>
          </w:p>
        </w:tc>
        <w:tc>
          <w:tcPr>
            <w:tcW w:w="856" w:type="dxa"/>
            <w:vAlign w:val="center"/>
          </w:tcPr>
          <w:p w14:paraId="34DD767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Qi </w:t>
            </w:r>
            <w:proofErr w:type="spellStart"/>
            <w:r>
              <w:rPr>
                <w:rFonts w:ascii="Times New Roman" w:eastAsia="仿宋_GB2312" w:hAnsi="Times New Roman" w:cs="Times New Roman"/>
                <w:bCs/>
              </w:rPr>
              <w:t>Qiao</w:t>
            </w:r>
            <w:proofErr w:type="spellEnd"/>
          </w:p>
        </w:tc>
        <w:tc>
          <w:tcPr>
            <w:tcW w:w="708" w:type="dxa"/>
            <w:vAlign w:val="center"/>
          </w:tcPr>
          <w:p w14:paraId="2F175AC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E013A3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Journal of Cleaner Production</w:t>
            </w:r>
          </w:p>
        </w:tc>
        <w:tc>
          <w:tcPr>
            <w:tcW w:w="1276" w:type="dxa"/>
            <w:vAlign w:val="center"/>
          </w:tcPr>
          <w:p w14:paraId="002307E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2021(294), 126325</w:t>
            </w:r>
          </w:p>
        </w:tc>
        <w:tc>
          <w:tcPr>
            <w:tcW w:w="1609" w:type="dxa"/>
            <w:vAlign w:val="center"/>
          </w:tcPr>
          <w:p w14:paraId="5AF2098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34AF9D02" w14:textId="77777777">
        <w:trPr>
          <w:trHeight w:val="454"/>
          <w:jc w:val="center"/>
        </w:trPr>
        <w:tc>
          <w:tcPr>
            <w:tcW w:w="421" w:type="dxa"/>
            <w:vAlign w:val="center"/>
          </w:tcPr>
          <w:p w14:paraId="49953F3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39</w:t>
            </w:r>
          </w:p>
        </w:tc>
        <w:tc>
          <w:tcPr>
            <w:tcW w:w="2693" w:type="dxa"/>
            <w:vAlign w:val="center"/>
          </w:tcPr>
          <w:p w14:paraId="7DA7BE2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Spatial characteristics and driving forces of anthropogenic phosphorus emissions in the Yangtze River Economic Belt, China</w:t>
            </w:r>
          </w:p>
        </w:tc>
        <w:tc>
          <w:tcPr>
            <w:tcW w:w="856" w:type="dxa"/>
            <w:vAlign w:val="center"/>
          </w:tcPr>
          <w:p w14:paraId="2736EAC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Qi </w:t>
            </w:r>
            <w:proofErr w:type="spellStart"/>
            <w:r>
              <w:rPr>
                <w:rFonts w:ascii="Times New Roman" w:eastAsia="仿宋_GB2312" w:hAnsi="Times New Roman" w:cs="Times New Roman"/>
                <w:bCs/>
              </w:rPr>
              <w:t>Qiao</w:t>
            </w:r>
            <w:proofErr w:type="spellEnd"/>
          </w:p>
        </w:tc>
        <w:tc>
          <w:tcPr>
            <w:tcW w:w="708" w:type="dxa"/>
            <w:vAlign w:val="center"/>
          </w:tcPr>
          <w:p w14:paraId="00DADEC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67A1D22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Resources, Conservation and Recycling</w:t>
            </w:r>
          </w:p>
        </w:tc>
        <w:tc>
          <w:tcPr>
            <w:tcW w:w="1276" w:type="dxa"/>
            <w:vAlign w:val="center"/>
          </w:tcPr>
          <w:p w14:paraId="4609370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2022(176) 105937</w:t>
            </w:r>
          </w:p>
        </w:tc>
        <w:tc>
          <w:tcPr>
            <w:tcW w:w="1609" w:type="dxa"/>
            <w:vAlign w:val="center"/>
          </w:tcPr>
          <w:p w14:paraId="6A90162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6A58E083" w14:textId="77777777">
        <w:trPr>
          <w:trHeight w:val="454"/>
          <w:jc w:val="center"/>
        </w:trPr>
        <w:tc>
          <w:tcPr>
            <w:tcW w:w="421" w:type="dxa"/>
            <w:vAlign w:val="center"/>
          </w:tcPr>
          <w:p w14:paraId="5027155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40</w:t>
            </w:r>
          </w:p>
        </w:tc>
        <w:tc>
          <w:tcPr>
            <w:tcW w:w="2693" w:type="dxa"/>
            <w:vAlign w:val="center"/>
          </w:tcPr>
          <w:p w14:paraId="066A8C9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Spatial</w:t>
            </w:r>
            <w:r>
              <w:rPr>
                <w:rFonts w:ascii="Times New Roman" w:eastAsia="微软雅黑" w:hAnsi="Times New Roman" w:cs="Times New Roman"/>
                <w:bCs/>
              </w:rPr>
              <w:t>–</w:t>
            </w:r>
            <w:r>
              <w:rPr>
                <w:rFonts w:ascii="Times New Roman" w:eastAsia="仿宋_GB2312" w:hAnsi="Times New Roman" w:cs="Times New Roman"/>
                <w:bCs/>
              </w:rPr>
              <w:t xml:space="preserve">Temporal Distribution of Phosphorus Fractions and Their Relationship </w:t>
            </w:r>
            <w:proofErr w:type="spellStart"/>
            <w:r>
              <w:rPr>
                <w:rFonts w:ascii="Times New Roman" w:eastAsia="仿宋_GB2312" w:hAnsi="Times New Roman" w:cs="Times New Roman"/>
                <w:bCs/>
              </w:rPr>
              <w:t>inWater</w:t>
            </w:r>
            <w:proofErr w:type="spellEnd"/>
            <w:r>
              <w:rPr>
                <w:rFonts w:ascii="Times New Roman" w:eastAsia="微软雅黑" w:hAnsi="Times New Roman" w:cs="Times New Roman"/>
                <w:bCs/>
              </w:rPr>
              <w:t>–</w:t>
            </w:r>
            <w:r>
              <w:rPr>
                <w:rFonts w:ascii="Times New Roman" w:eastAsia="仿宋_GB2312" w:hAnsi="Times New Roman" w:cs="Times New Roman"/>
                <w:bCs/>
              </w:rPr>
              <w:t xml:space="preserve">Sediment Phases in the </w:t>
            </w:r>
            <w:proofErr w:type="spellStart"/>
            <w:r>
              <w:rPr>
                <w:rFonts w:ascii="Times New Roman" w:eastAsia="仿宋_GB2312" w:hAnsi="Times New Roman" w:cs="Times New Roman"/>
                <w:bCs/>
              </w:rPr>
              <w:t>Tuojiang</w:t>
            </w:r>
            <w:proofErr w:type="spellEnd"/>
            <w:r>
              <w:rPr>
                <w:rFonts w:ascii="Times New Roman" w:eastAsia="仿宋_GB2312" w:hAnsi="Times New Roman" w:cs="Times New Roman"/>
                <w:bCs/>
              </w:rPr>
              <w:t xml:space="preserve"> River, China. </w:t>
            </w:r>
          </w:p>
        </w:tc>
        <w:tc>
          <w:tcPr>
            <w:tcW w:w="856" w:type="dxa"/>
            <w:vAlign w:val="center"/>
          </w:tcPr>
          <w:p w14:paraId="40A12CF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Qi </w:t>
            </w:r>
            <w:proofErr w:type="spellStart"/>
            <w:r>
              <w:rPr>
                <w:rFonts w:ascii="Times New Roman" w:eastAsia="仿宋_GB2312" w:hAnsi="Times New Roman" w:cs="Times New Roman"/>
                <w:bCs/>
              </w:rPr>
              <w:t>Qiao</w:t>
            </w:r>
            <w:proofErr w:type="spellEnd"/>
          </w:p>
        </w:tc>
        <w:tc>
          <w:tcPr>
            <w:tcW w:w="708" w:type="dxa"/>
            <w:vAlign w:val="center"/>
          </w:tcPr>
          <w:p w14:paraId="0247CA7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72F07E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Water</w:t>
            </w:r>
          </w:p>
        </w:tc>
        <w:tc>
          <w:tcPr>
            <w:tcW w:w="1276" w:type="dxa"/>
            <w:vAlign w:val="center"/>
          </w:tcPr>
          <w:p w14:paraId="025000F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2022,14,27</w:t>
            </w:r>
          </w:p>
        </w:tc>
        <w:tc>
          <w:tcPr>
            <w:tcW w:w="1609" w:type="dxa"/>
            <w:vAlign w:val="center"/>
          </w:tcPr>
          <w:p w14:paraId="5242DE5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0ADC04C0" w14:textId="77777777">
        <w:trPr>
          <w:trHeight w:val="454"/>
          <w:jc w:val="center"/>
        </w:trPr>
        <w:tc>
          <w:tcPr>
            <w:tcW w:w="421" w:type="dxa"/>
            <w:vAlign w:val="center"/>
          </w:tcPr>
          <w:p w14:paraId="6EA9ECC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41</w:t>
            </w:r>
          </w:p>
        </w:tc>
        <w:tc>
          <w:tcPr>
            <w:tcW w:w="2693" w:type="dxa"/>
            <w:vAlign w:val="center"/>
          </w:tcPr>
          <w:p w14:paraId="07EEBEA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我国工业污染源产排污核算系数法发展历程及研究进展</w:t>
            </w:r>
          </w:p>
        </w:tc>
        <w:tc>
          <w:tcPr>
            <w:tcW w:w="856" w:type="dxa"/>
            <w:vAlign w:val="center"/>
          </w:tcPr>
          <w:p w14:paraId="6D14030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33C4E38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第一作者</w:t>
            </w:r>
          </w:p>
        </w:tc>
        <w:tc>
          <w:tcPr>
            <w:tcW w:w="851" w:type="dxa"/>
            <w:vAlign w:val="center"/>
          </w:tcPr>
          <w:p w14:paraId="2359B70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43CFE44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2020,33(08)</w:t>
            </w:r>
          </w:p>
        </w:tc>
        <w:tc>
          <w:tcPr>
            <w:tcW w:w="1609" w:type="dxa"/>
            <w:vAlign w:val="center"/>
          </w:tcPr>
          <w:p w14:paraId="19757C5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4B2FFBC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15E149C" w14:textId="77777777">
        <w:trPr>
          <w:trHeight w:val="454"/>
          <w:jc w:val="center"/>
        </w:trPr>
        <w:tc>
          <w:tcPr>
            <w:tcW w:w="421" w:type="dxa"/>
            <w:vAlign w:val="center"/>
          </w:tcPr>
          <w:p w14:paraId="35AEF75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42</w:t>
            </w:r>
          </w:p>
        </w:tc>
        <w:tc>
          <w:tcPr>
            <w:tcW w:w="2693" w:type="dxa"/>
            <w:vAlign w:val="center"/>
          </w:tcPr>
          <w:p w14:paraId="1453AA4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中国能源消费</w:t>
            </w:r>
            <w:r>
              <w:rPr>
                <w:rFonts w:ascii="Times New Roman" w:eastAsia="仿宋_GB2312" w:hAnsi="Times New Roman" w:cs="Times New Roman"/>
                <w:bCs/>
              </w:rPr>
              <w:t>CO2</w:t>
            </w:r>
            <w:r>
              <w:rPr>
                <w:rFonts w:ascii="Times New Roman" w:eastAsia="仿宋_GB2312" w:hAnsi="Times New Roman" w:cs="Times New Roman"/>
                <w:bCs/>
              </w:rPr>
              <w:t>排放</w:t>
            </w:r>
            <w:r>
              <w:rPr>
                <w:rFonts w:ascii="Times New Roman" w:eastAsia="仿宋_GB2312" w:hAnsi="Times New Roman" w:cs="Times New Roman"/>
                <w:bCs/>
              </w:rPr>
              <w:lastRenderedPageBreak/>
              <w:t>的影响因素及情景分析</w:t>
            </w:r>
          </w:p>
        </w:tc>
        <w:tc>
          <w:tcPr>
            <w:tcW w:w="856" w:type="dxa"/>
            <w:vAlign w:val="center"/>
          </w:tcPr>
          <w:p w14:paraId="68B878A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lastRenderedPageBreak/>
              <w:t>乔琦</w:t>
            </w:r>
            <w:proofErr w:type="gramEnd"/>
          </w:p>
        </w:tc>
        <w:tc>
          <w:tcPr>
            <w:tcW w:w="708" w:type="dxa"/>
            <w:vAlign w:val="center"/>
          </w:tcPr>
          <w:p w14:paraId="07F9791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w:t>
            </w:r>
            <w:r>
              <w:rPr>
                <w:rFonts w:ascii="Times New Roman" w:eastAsia="仿宋_GB2312" w:hAnsi="Times New Roman" w:cs="Times New Roman"/>
                <w:bCs/>
              </w:rPr>
              <w:lastRenderedPageBreak/>
              <w:t>作者</w:t>
            </w:r>
          </w:p>
        </w:tc>
        <w:tc>
          <w:tcPr>
            <w:tcW w:w="851" w:type="dxa"/>
            <w:vAlign w:val="center"/>
          </w:tcPr>
          <w:p w14:paraId="08A7E3D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环境</w:t>
            </w:r>
            <w:r>
              <w:rPr>
                <w:rFonts w:ascii="Times New Roman" w:eastAsia="仿宋_GB2312" w:hAnsi="Times New Roman" w:cs="Times New Roman"/>
                <w:bCs/>
              </w:rPr>
              <w:lastRenderedPageBreak/>
              <w:t>工程技术学报</w:t>
            </w:r>
          </w:p>
        </w:tc>
        <w:tc>
          <w:tcPr>
            <w:tcW w:w="1276" w:type="dxa"/>
            <w:vAlign w:val="center"/>
          </w:tcPr>
          <w:p w14:paraId="2BDD741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2022-04-12</w:t>
            </w:r>
          </w:p>
        </w:tc>
        <w:tc>
          <w:tcPr>
            <w:tcW w:w="1609" w:type="dxa"/>
            <w:vAlign w:val="center"/>
          </w:tcPr>
          <w:p w14:paraId="69BAA7C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38C2B9C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中文核心期刊</w:t>
            </w:r>
          </w:p>
        </w:tc>
      </w:tr>
      <w:tr w:rsidR="00AB51C8" w14:paraId="09712CE4" w14:textId="77777777">
        <w:trPr>
          <w:trHeight w:val="454"/>
          <w:jc w:val="center"/>
        </w:trPr>
        <w:tc>
          <w:tcPr>
            <w:tcW w:w="421" w:type="dxa"/>
            <w:vAlign w:val="center"/>
          </w:tcPr>
          <w:p w14:paraId="31496E2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43</w:t>
            </w:r>
          </w:p>
        </w:tc>
        <w:tc>
          <w:tcPr>
            <w:tcW w:w="2693" w:type="dxa"/>
            <w:vAlign w:val="center"/>
          </w:tcPr>
          <w:p w14:paraId="6914957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工业行业源头</w:t>
            </w:r>
            <w:r>
              <w:rPr>
                <w:rFonts w:ascii="Times New Roman" w:eastAsia="仿宋_GB2312" w:hAnsi="Times New Roman" w:cs="Times New Roman"/>
                <w:bCs/>
              </w:rPr>
              <w:t>-</w:t>
            </w:r>
            <w:r>
              <w:rPr>
                <w:rFonts w:ascii="Times New Roman" w:eastAsia="仿宋_GB2312" w:hAnsi="Times New Roman" w:cs="Times New Roman"/>
                <w:bCs/>
              </w:rPr>
              <w:t>过程</w:t>
            </w:r>
            <w:r>
              <w:rPr>
                <w:rFonts w:ascii="Times New Roman" w:eastAsia="仿宋_GB2312" w:hAnsi="Times New Roman" w:cs="Times New Roman"/>
                <w:bCs/>
              </w:rPr>
              <w:t>-</w:t>
            </w:r>
            <w:r>
              <w:rPr>
                <w:rFonts w:ascii="Times New Roman" w:eastAsia="仿宋_GB2312" w:hAnsi="Times New Roman" w:cs="Times New Roman"/>
                <w:bCs/>
              </w:rPr>
              <w:t>末端全过程减</w:t>
            </w:r>
            <w:proofErr w:type="gramStart"/>
            <w:r>
              <w:rPr>
                <w:rFonts w:ascii="Times New Roman" w:eastAsia="仿宋_GB2312" w:hAnsi="Times New Roman" w:cs="Times New Roman"/>
                <w:bCs/>
              </w:rPr>
              <w:t>排潜力</w:t>
            </w:r>
            <w:proofErr w:type="gramEnd"/>
            <w:r>
              <w:rPr>
                <w:rFonts w:ascii="Times New Roman" w:eastAsia="仿宋_GB2312" w:hAnsi="Times New Roman" w:cs="Times New Roman"/>
                <w:bCs/>
              </w:rPr>
              <w:t>评估研究</w:t>
            </w:r>
          </w:p>
        </w:tc>
        <w:tc>
          <w:tcPr>
            <w:tcW w:w="856" w:type="dxa"/>
            <w:vAlign w:val="center"/>
          </w:tcPr>
          <w:p w14:paraId="55B66C9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526FBFF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2423E63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10434EA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,2021,34(12)</w:t>
            </w:r>
          </w:p>
        </w:tc>
        <w:tc>
          <w:tcPr>
            <w:tcW w:w="1609" w:type="dxa"/>
            <w:vAlign w:val="center"/>
          </w:tcPr>
          <w:p w14:paraId="012E315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6428B9E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0382BA2A" w14:textId="77777777">
        <w:trPr>
          <w:trHeight w:val="454"/>
          <w:jc w:val="center"/>
        </w:trPr>
        <w:tc>
          <w:tcPr>
            <w:tcW w:w="421" w:type="dxa"/>
            <w:vAlign w:val="center"/>
          </w:tcPr>
          <w:p w14:paraId="55D3CE7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44</w:t>
            </w:r>
          </w:p>
        </w:tc>
        <w:tc>
          <w:tcPr>
            <w:tcW w:w="2693" w:type="dxa"/>
            <w:vAlign w:val="center"/>
          </w:tcPr>
          <w:p w14:paraId="39A4887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工业污染源产排污核算模型及参数量化方法</w:t>
            </w:r>
          </w:p>
        </w:tc>
        <w:tc>
          <w:tcPr>
            <w:tcW w:w="856" w:type="dxa"/>
            <w:vAlign w:val="center"/>
          </w:tcPr>
          <w:p w14:paraId="78132F6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130DEF1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第一作者、通讯作者</w:t>
            </w:r>
          </w:p>
        </w:tc>
        <w:tc>
          <w:tcPr>
            <w:tcW w:w="851" w:type="dxa"/>
            <w:vAlign w:val="center"/>
          </w:tcPr>
          <w:p w14:paraId="1899FE3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66BACBB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2021,34(09.</w:t>
            </w:r>
          </w:p>
        </w:tc>
        <w:tc>
          <w:tcPr>
            <w:tcW w:w="1609" w:type="dxa"/>
            <w:vAlign w:val="center"/>
          </w:tcPr>
          <w:p w14:paraId="2726F53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1C9B0E5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79403263" w14:textId="77777777">
        <w:trPr>
          <w:trHeight w:val="454"/>
          <w:jc w:val="center"/>
        </w:trPr>
        <w:tc>
          <w:tcPr>
            <w:tcW w:w="421" w:type="dxa"/>
            <w:vAlign w:val="center"/>
          </w:tcPr>
          <w:p w14:paraId="492C8F7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45</w:t>
            </w:r>
          </w:p>
        </w:tc>
        <w:tc>
          <w:tcPr>
            <w:tcW w:w="2693" w:type="dxa"/>
            <w:vAlign w:val="center"/>
          </w:tcPr>
          <w:p w14:paraId="4D88702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工业污染源产排污核算模型及参数量化方法</w:t>
            </w:r>
          </w:p>
        </w:tc>
        <w:tc>
          <w:tcPr>
            <w:tcW w:w="856" w:type="dxa"/>
            <w:vAlign w:val="center"/>
          </w:tcPr>
          <w:p w14:paraId="0643F45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白璐</w:t>
            </w:r>
          </w:p>
        </w:tc>
        <w:tc>
          <w:tcPr>
            <w:tcW w:w="708" w:type="dxa"/>
            <w:vAlign w:val="center"/>
          </w:tcPr>
          <w:p w14:paraId="78019BD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第一作者</w:t>
            </w:r>
          </w:p>
        </w:tc>
        <w:tc>
          <w:tcPr>
            <w:tcW w:w="851" w:type="dxa"/>
            <w:vAlign w:val="center"/>
          </w:tcPr>
          <w:p w14:paraId="70C3CEE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22E591C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2021,34(09)</w:t>
            </w:r>
          </w:p>
        </w:tc>
        <w:tc>
          <w:tcPr>
            <w:tcW w:w="1609" w:type="dxa"/>
            <w:vAlign w:val="center"/>
          </w:tcPr>
          <w:p w14:paraId="5C16E7C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75C748C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ABA7A11" w14:textId="77777777">
        <w:trPr>
          <w:trHeight w:val="454"/>
          <w:jc w:val="center"/>
        </w:trPr>
        <w:tc>
          <w:tcPr>
            <w:tcW w:w="421" w:type="dxa"/>
            <w:vAlign w:val="center"/>
          </w:tcPr>
          <w:p w14:paraId="2EDA0B6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46</w:t>
            </w:r>
          </w:p>
        </w:tc>
        <w:tc>
          <w:tcPr>
            <w:tcW w:w="2693" w:type="dxa"/>
            <w:vAlign w:val="center"/>
          </w:tcPr>
          <w:p w14:paraId="7DF46FF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工业污染源产排污系数编码方法与应用</w:t>
            </w:r>
          </w:p>
        </w:tc>
        <w:tc>
          <w:tcPr>
            <w:tcW w:w="856" w:type="dxa"/>
            <w:vAlign w:val="center"/>
          </w:tcPr>
          <w:p w14:paraId="2578591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14FF3CC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ECA405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5013BC2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2022,12(01)</w:t>
            </w:r>
          </w:p>
        </w:tc>
        <w:tc>
          <w:tcPr>
            <w:tcW w:w="1609" w:type="dxa"/>
            <w:vAlign w:val="center"/>
          </w:tcPr>
          <w:p w14:paraId="2025D68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66A3888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2F70FCCA" w14:textId="77777777">
        <w:trPr>
          <w:trHeight w:val="454"/>
          <w:jc w:val="center"/>
        </w:trPr>
        <w:tc>
          <w:tcPr>
            <w:tcW w:w="421" w:type="dxa"/>
            <w:vAlign w:val="center"/>
          </w:tcPr>
          <w:p w14:paraId="4EE9A6C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47</w:t>
            </w:r>
          </w:p>
        </w:tc>
        <w:tc>
          <w:tcPr>
            <w:tcW w:w="2693" w:type="dxa"/>
            <w:vAlign w:val="center"/>
          </w:tcPr>
          <w:p w14:paraId="74B020D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w:t>
            </w:r>
            <w:r>
              <w:rPr>
                <w:rFonts w:ascii="Times New Roman" w:eastAsia="仿宋_GB2312" w:hAnsi="Times New Roman" w:cs="Times New Roman"/>
                <w:bCs/>
              </w:rPr>
              <w:t>散乱污</w:t>
            </w:r>
            <w:r>
              <w:rPr>
                <w:rFonts w:ascii="Times New Roman" w:eastAsia="仿宋_GB2312" w:hAnsi="Times New Roman" w:cs="Times New Roman"/>
                <w:bCs/>
              </w:rPr>
              <w:t>”</w:t>
            </w:r>
            <w:r>
              <w:rPr>
                <w:rFonts w:ascii="Times New Roman" w:eastAsia="仿宋_GB2312" w:hAnsi="Times New Roman" w:cs="Times New Roman"/>
                <w:bCs/>
              </w:rPr>
              <w:t>企业定义及分类管</w:t>
            </w:r>
            <w:proofErr w:type="gramStart"/>
            <w:r>
              <w:rPr>
                <w:rFonts w:ascii="Times New Roman" w:eastAsia="仿宋_GB2312" w:hAnsi="Times New Roman" w:cs="Times New Roman"/>
                <w:bCs/>
              </w:rPr>
              <w:t>控方法</w:t>
            </w:r>
            <w:proofErr w:type="gramEnd"/>
            <w:r>
              <w:rPr>
                <w:rFonts w:ascii="Times New Roman" w:eastAsia="仿宋_GB2312" w:hAnsi="Times New Roman" w:cs="Times New Roman"/>
                <w:bCs/>
              </w:rPr>
              <w:t>框架</w:t>
            </w:r>
          </w:p>
        </w:tc>
        <w:tc>
          <w:tcPr>
            <w:tcW w:w="856" w:type="dxa"/>
            <w:vAlign w:val="center"/>
          </w:tcPr>
          <w:p w14:paraId="23E9D92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5D3CE51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042E86F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环境保护</w:t>
            </w:r>
          </w:p>
        </w:tc>
        <w:tc>
          <w:tcPr>
            <w:tcW w:w="1276" w:type="dxa"/>
            <w:vAlign w:val="center"/>
          </w:tcPr>
          <w:p w14:paraId="07FC8E1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2019,47(20)</w:t>
            </w:r>
          </w:p>
        </w:tc>
        <w:tc>
          <w:tcPr>
            <w:tcW w:w="1609" w:type="dxa"/>
            <w:vAlign w:val="center"/>
          </w:tcPr>
          <w:p w14:paraId="7EE4ED4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CSSCI</w:t>
            </w:r>
            <w:r>
              <w:rPr>
                <w:rFonts w:ascii="Times New Roman" w:eastAsia="仿宋_GB2312" w:hAnsi="Times New Roman" w:cs="Times New Roman"/>
                <w:bCs/>
              </w:rPr>
              <w:t>扩展板</w:t>
            </w:r>
          </w:p>
        </w:tc>
      </w:tr>
      <w:tr w:rsidR="00AB51C8" w14:paraId="41EBE80A" w14:textId="77777777">
        <w:trPr>
          <w:trHeight w:val="454"/>
          <w:jc w:val="center"/>
        </w:trPr>
        <w:tc>
          <w:tcPr>
            <w:tcW w:w="421" w:type="dxa"/>
            <w:vAlign w:val="center"/>
          </w:tcPr>
          <w:p w14:paraId="1C9EAC6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48</w:t>
            </w:r>
          </w:p>
        </w:tc>
        <w:tc>
          <w:tcPr>
            <w:tcW w:w="2693" w:type="dxa"/>
            <w:vAlign w:val="center"/>
          </w:tcPr>
          <w:p w14:paraId="0E49795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中国工业园区绿色发展政策对比分析及对策研究</w:t>
            </w:r>
          </w:p>
        </w:tc>
        <w:tc>
          <w:tcPr>
            <w:tcW w:w="856" w:type="dxa"/>
            <w:vAlign w:val="center"/>
          </w:tcPr>
          <w:p w14:paraId="33BFAFE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乔琦</w:t>
            </w:r>
            <w:proofErr w:type="gramEnd"/>
          </w:p>
        </w:tc>
        <w:tc>
          <w:tcPr>
            <w:tcW w:w="708" w:type="dxa"/>
            <w:vAlign w:val="center"/>
          </w:tcPr>
          <w:p w14:paraId="5BCB1EF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A6F7D2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4220834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2020,33(02)</w:t>
            </w:r>
          </w:p>
        </w:tc>
        <w:tc>
          <w:tcPr>
            <w:tcW w:w="1609" w:type="dxa"/>
            <w:vAlign w:val="center"/>
          </w:tcPr>
          <w:p w14:paraId="7459134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18459ED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38A87D0E" w14:textId="77777777">
        <w:trPr>
          <w:trHeight w:val="454"/>
          <w:jc w:val="center"/>
        </w:trPr>
        <w:tc>
          <w:tcPr>
            <w:tcW w:w="421" w:type="dxa"/>
            <w:vAlign w:val="center"/>
          </w:tcPr>
          <w:p w14:paraId="12318F1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49</w:t>
            </w:r>
          </w:p>
        </w:tc>
        <w:tc>
          <w:tcPr>
            <w:tcW w:w="2693" w:type="dxa"/>
            <w:vAlign w:val="center"/>
          </w:tcPr>
          <w:p w14:paraId="124C305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黄河流域水污染排放特征及污染集聚格局分析</w:t>
            </w:r>
          </w:p>
        </w:tc>
        <w:tc>
          <w:tcPr>
            <w:tcW w:w="856" w:type="dxa"/>
            <w:vAlign w:val="center"/>
          </w:tcPr>
          <w:p w14:paraId="0FE652A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白璐</w:t>
            </w:r>
          </w:p>
        </w:tc>
        <w:tc>
          <w:tcPr>
            <w:tcW w:w="708" w:type="dxa"/>
            <w:vAlign w:val="center"/>
          </w:tcPr>
          <w:p w14:paraId="11FE294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第一作者</w:t>
            </w:r>
          </w:p>
        </w:tc>
        <w:tc>
          <w:tcPr>
            <w:tcW w:w="851" w:type="dxa"/>
            <w:vAlign w:val="center"/>
          </w:tcPr>
          <w:p w14:paraId="5E82B41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环境科学研究</w:t>
            </w:r>
          </w:p>
        </w:tc>
        <w:tc>
          <w:tcPr>
            <w:tcW w:w="1276" w:type="dxa"/>
            <w:vAlign w:val="center"/>
          </w:tcPr>
          <w:p w14:paraId="574345F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2020,33(12)</w:t>
            </w:r>
          </w:p>
        </w:tc>
        <w:tc>
          <w:tcPr>
            <w:tcW w:w="1609" w:type="dxa"/>
            <w:vAlign w:val="center"/>
          </w:tcPr>
          <w:p w14:paraId="4ADF373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p>
          <w:p w14:paraId="7056452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0601C8B2" w14:textId="77777777">
        <w:trPr>
          <w:trHeight w:val="454"/>
          <w:jc w:val="center"/>
        </w:trPr>
        <w:tc>
          <w:tcPr>
            <w:tcW w:w="421" w:type="dxa"/>
            <w:vAlign w:val="center"/>
          </w:tcPr>
          <w:p w14:paraId="32D2546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50</w:t>
            </w:r>
          </w:p>
        </w:tc>
        <w:tc>
          <w:tcPr>
            <w:tcW w:w="2693" w:type="dxa"/>
            <w:vAlign w:val="center"/>
          </w:tcPr>
          <w:p w14:paraId="49FDF1B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基于等</w:t>
            </w:r>
            <w:proofErr w:type="gramStart"/>
            <w:r>
              <w:rPr>
                <w:rFonts w:ascii="Times New Roman" w:eastAsia="仿宋_GB2312" w:hAnsi="Times New Roman" w:cs="Times New Roman"/>
                <w:bCs/>
              </w:rPr>
              <w:t>标污染</w:t>
            </w:r>
            <w:proofErr w:type="gramEnd"/>
            <w:r>
              <w:rPr>
                <w:rFonts w:ascii="Times New Roman" w:eastAsia="仿宋_GB2312" w:hAnsi="Times New Roman" w:cs="Times New Roman"/>
                <w:bCs/>
              </w:rPr>
              <w:t>负荷的电解锰废水污染源解析</w:t>
            </w:r>
          </w:p>
        </w:tc>
        <w:tc>
          <w:tcPr>
            <w:tcW w:w="856" w:type="dxa"/>
            <w:vAlign w:val="center"/>
          </w:tcPr>
          <w:p w14:paraId="2E2E55E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姚扬</w:t>
            </w:r>
          </w:p>
        </w:tc>
        <w:tc>
          <w:tcPr>
            <w:tcW w:w="708" w:type="dxa"/>
            <w:vAlign w:val="center"/>
          </w:tcPr>
          <w:p w14:paraId="42A1DAF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5659954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45C0F8C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2021,11(01)</w:t>
            </w:r>
          </w:p>
        </w:tc>
        <w:tc>
          <w:tcPr>
            <w:tcW w:w="1609" w:type="dxa"/>
            <w:vAlign w:val="center"/>
          </w:tcPr>
          <w:p w14:paraId="171482F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08F04E8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r w:rsidR="00AB51C8" w14:paraId="15BCC3A1" w14:textId="77777777">
        <w:trPr>
          <w:trHeight w:val="454"/>
          <w:jc w:val="center"/>
        </w:trPr>
        <w:tc>
          <w:tcPr>
            <w:tcW w:w="421" w:type="dxa"/>
            <w:vAlign w:val="center"/>
          </w:tcPr>
          <w:p w14:paraId="0D7D0FD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51</w:t>
            </w:r>
          </w:p>
        </w:tc>
        <w:tc>
          <w:tcPr>
            <w:tcW w:w="2693" w:type="dxa"/>
            <w:vAlign w:val="center"/>
          </w:tcPr>
          <w:p w14:paraId="11D6316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 xml:space="preserve">Enhanced photocatalytic reduction of </w:t>
            </w:r>
            <w:proofErr w:type="gramStart"/>
            <w:r>
              <w:rPr>
                <w:rFonts w:ascii="Times New Roman" w:eastAsia="仿宋_GB2312" w:hAnsi="Times New Roman" w:cs="Times New Roman"/>
                <w:bCs/>
              </w:rPr>
              <w:t>Cr(</w:t>
            </w:r>
            <w:proofErr w:type="gramEnd"/>
            <w:r>
              <w:rPr>
                <w:rFonts w:ascii="Times New Roman" w:eastAsia="仿宋_GB2312" w:hAnsi="Times New Roman" w:cs="Times New Roman"/>
                <w:bCs/>
              </w:rPr>
              <w:t>VI) by Cu2O/Bi5O7I microrods composites under visible light</w:t>
            </w:r>
          </w:p>
        </w:tc>
        <w:tc>
          <w:tcPr>
            <w:tcW w:w="856" w:type="dxa"/>
            <w:vAlign w:val="center"/>
          </w:tcPr>
          <w:p w14:paraId="61331FE0"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但智钢</w:t>
            </w:r>
            <w:proofErr w:type="gramEnd"/>
          </w:p>
        </w:tc>
        <w:tc>
          <w:tcPr>
            <w:tcW w:w="708" w:type="dxa"/>
            <w:vAlign w:val="center"/>
          </w:tcPr>
          <w:p w14:paraId="015AC93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12E5171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Journal of Photochemistry &amp; Photobiology A: Chemistry</w:t>
            </w:r>
          </w:p>
        </w:tc>
        <w:tc>
          <w:tcPr>
            <w:tcW w:w="1276" w:type="dxa"/>
            <w:vAlign w:val="center"/>
          </w:tcPr>
          <w:p w14:paraId="79B3D9B2"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2020,395</w:t>
            </w:r>
          </w:p>
        </w:tc>
        <w:tc>
          <w:tcPr>
            <w:tcW w:w="1609" w:type="dxa"/>
            <w:vAlign w:val="center"/>
          </w:tcPr>
          <w:p w14:paraId="03B36F2D"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SCI</w:t>
            </w:r>
          </w:p>
        </w:tc>
      </w:tr>
      <w:tr w:rsidR="00AB51C8" w14:paraId="1F0259FD" w14:textId="77777777">
        <w:trPr>
          <w:trHeight w:val="454"/>
          <w:jc w:val="center"/>
        </w:trPr>
        <w:tc>
          <w:tcPr>
            <w:tcW w:w="421" w:type="dxa"/>
            <w:vAlign w:val="center"/>
          </w:tcPr>
          <w:p w14:paraId="05A9A666"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52</w:t>
            </w:r>
          </w:p>
        </w:tc>
        <w:tc>
          <w:tcPr>
            <w:tcW w:w="2693" w:type="dxa"/>
            <w:vAlign w:val="center"/>
          </w:tcPr>
          <w:p w14:paraId="58613F4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基于物质流和能量流分析的典型工业园区循环经济发展评价</w:t>
            </w:r>
          </w:p>
        </w:tc>
        <w:tc>
          <w:tcPr>
            <w:tcW w:w="856" w:type="dxa"/>
            <w:vAlign w:val="center"/>
          </w:tcPr>
          <w:p w14:paraId="25C5E87B"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姚扬</w:t>
            </w:r>
          </w:p>
        </w:tc>
        <w:tc>
          <w:tcPr>
            <w:tcW w:w="708" w:type="dxa"/>
            <w:vAlign w:val="center"/>
          </w:tcPr>
          <w:p w14:paraId="34746E0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通讯作者</w:t>
            </w:r>
          </w:p>
        </w:tc>
        <w:tc>
          <w:tcPr>
            <w:tcW w:w="851" w:type="dxa"/>
            <w:vAlign w:val="center"/>
          </w:tcPr>
          <w:p w14:paraId="71AEF1D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环境工程技术学报</w:t>
            </w:r>
          </w:p>
        </w:tc>
        <w:tc>
          <w:tcPr>
            <w:tcW w:w="1276" w:type="dxa"/>
            <w:vAlign w:val="center"/>
          </w:tcPr>
          <w:p w14:paraId="5F80AE61"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2021,11(3)</w:t>
            </w:r>
          </w:p>
        </w:tc>
        <w:tc>
          <w:tcPr>
            <w:tcW w:w="1609" w:type="dxa"/>
            <w:vAlign w:val="center"/>
          </w:tcPr>
          <w:p w14:paraId="66AEA10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CSCD</w:t>
            </w:r>
            <w:r>
              <w:rPr>
                <w:rFonts w:ascii="Times New Roman" w:eastAsia="仿宋_GB2312" w:hAnsi="Times New Roman" w:cs="Times New Roman"/>
                <w:bCs/>
              </w:rPr>
              <w:t>扩展版</w:t>
            </w:r>
          </w:p>
          <w:p w14:paraId="5464183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中文核心期刊</w:t>
            </w:r>
          </w:p>
        </w:tc>
      </w:tr>
    </w:tbl>
    <w:p w14:paraId="38430E7C" w14:textId="77777777" w:rsidR="00AB51C8" w:rsidRDefault="00000000">
      <w:pPr>
        <w:pStyle w:val="1"/>
        <w:spacing w:line="560" w:lineRule="exact"/>
        <w:ind w:firstLineChars="200" w:firstLine="640"/>
        <w:rPr>
          <w:b w:val="0"/>
          <w:bCs w:val="0"/>
        </w:rPr>
      </w:pPr>
      <w:bookmarkStart w:id="12" w:name="_Toc101773634"/>
      <w:r>
        <w:rPr>
          <w:rFonts w:hint="eastAsia"/>
          <w:b w:val="0"/>
          <w:bCs w:val="0"/>
        </w:rPr>
        <w:t>二、研究生党建与思想政治教育工作</w:t>
      </w:r>
      <w:bookmarkEnd w:id="12"/>
    </w:p>
    <w:p w14:paraId="7F8F8123" w14:textId="1E2620C5"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本学科授权点一贯以来注意思想政治教育队伍建设、理想信念和社会</w:t>
      </w:r>
      <w:r w:rsidR="009A007D">
        <w:rPr>
          <w:rFonts w:eastAsia="仿宋_GB2312" w:cs="Times New Roman" w:hint="eastAsia"/>
          <w:sz w:val="32"/>
          <w:szCs w:val="32"/>
        </w:rPr>
        <w:t>主义</w:t>
      </w:r>
      <w:r>
        <w:rPr>
          <w:rFonts w:eastAsia="仿宋_GB2312" w:cs="Times New Roman"/>
          <w:sz w:val="32"/>
          <w:szCs w:val="32"/>
        </w:rPr>
        <w:t>核心价值观教育、院所文化建设，并加强日常管理服务工作思想统一。</w:t>
      </w:r>
    </w:p>
    <w:p w14:paraId="3F5A109A" w14:textId="77777777" w:rsidR="00AB51C8" w:rsidRDefault="00000000">
      <w:pPr>
        <w:pStyle w:val="21"/>
        <w:spacing w:line="560" w:lineRule="exact"/>
        <w:ind w:firstLineChars="200" w:firstLine="640"/>
        <w:rPr>
          <w:rFonts w:ascii="楷体_GB2312" w:eastAsia="楷体_GB2312"/>
          <w:sz w:val="32"/>
          <w:szCs w:val="32"/>
        </w:rPr>
      </w:pPr>
      <w:bookmarkStart w:id="13" w:name="_Toc101773635"/>
      <w:r>
        <w:rPr>
          <w:rFonts w:ascii="楷体_GB2312" w:eastAsia="楷体_GB2312" w:hint="eastAsia"/>
          <w:sz w:val="32"/>
          <w:szCs w:val="32"/>
        </w:rPr>
        <w:t>（一）思想政治教育队伍建设</w:t>
      </w:r>
      <w:bookmarkEnd w:id="13"/>
    </w:p>
    <w:p w14:paraId="7D3BCB91"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坚持党建引领、德育先行，构建三全育人工作体系。加强党建引领，始终把立德育人贯穿于思想教育、学习科研工作始终。</w:t>
      </w:r>
      <w:r>
        <w:rPr>
          <w:rFonts w:eastAsia="仿宋_GB2312" w:cs="Times New Roman"/>
          <w:sz w:val="32"/>
          <w:szCs w:val="32"/>
        </w:rPr>
        <w:t>2021</w:t>
      </w:r>
      <w:r>
        <w:rPr>
          <w:rFonts w:eastAsia="仿宋_GB2312" w:cs="Times New Roman"/>
          <w:sz w:val="32"/>
          <w:szCs w:val="32"/>
        </w:rPr>
        <w:t>年，以</w:t>
      </w:r>
      <w:r>
        <w:rPr>
          <w:rFonts w:eastAsia="仿宋_GB2312" w:cs="Times New Roman"/>
          <w:sz w:val="32"/>
          <w:szCs w:val="32"/>
        </w:rPr>
        <w:t>“</w:t>
      </w:r>
      <w:r>
        <w:rPr>
          <w:rFonts w:eastAsia="仿宋_GB2312" w:cs="Times New Roman"/>
          <w:sz w:val="32"/>
          <w:szCs w:val="32"/>
        </w:rPr>
        <w:t>学党史，悟思想</w:t>
      </w:r>
      <w:r>
        <w:rPr>
          <w:rFonts w:eastAsia="仿宋_GB2312" w:cs="Times New Roman"/>
          <w:sz w:val="32"/>
          <w:szCs w:val="32"/>
        </w:rPr>
        <w:t>”</w:t>
      </w:r>
      <w:r>
        <w:rPr>
          <w:rFonts w:eastAsia="仿宋_GB2312" w:cs="Times New Roman"/>
          <w:sz w:val="32"/>
          <w:szCs w:val="32"/>
        </w:rPr>
        <w:t>为重要切入点，组织全体师生</w:t>
      </w:r>
      <w:proofErr w:type="gramStart"/>
      <w:r>
        <w:rPr>
          <w:rFonts w:eastAsia="仿宋_GB2312" w:cs="Times New Roman"/>
          <w:sz w:val="32"/>
          <w:szCs w:val="32"/>
        </w:rPr>
        <w:t>研</w:t>
      </w:r>
      <w:proofErr w:type="gramEnd"/>
      <w:r>
        <w:rPr>
          <w:rFonts w:eastAsia="仿宋_GB2312" w:cs="Times New Roman"/>
          <w:sz w:val="32"/>
          <w:szCs w:val="32"/>
        </w:rPr>
        <w:t>学党史，提高政治学习自觉性。组织学</w:t>
      </w:r>
      <w:proofErr w:type="gramStart"/>
      <w:r>
        <w:rPr>
          <w:rFonts w:eastAsia="仿宋_GB2312" w:cs="Times New Roman"/>
          <w:sz w:val="32"/>
          <w:szCs w:val="32"/>
        </w:rPr>
        <w:t>习习近</w:t>
      </w:r>
      <w:proofErr w:type="gramEnd"/>
      <w:r>
        <w:rPr>
          <w:rFonts w:eastAsia="仿宋_GB2312" w:cs="Times New Roman"/>
          <w:sz w:val="32"/>
          <w:szCs w:val="32"/>
        </w:rPr>
        <w:t>平总书记在庆祝中国共产党成立</w:t>
      </w:r>
      <w:r>
        <w:rPr>
          <w:rFonts w:eastAsia="仿宋_GB2312" w:cs="Times New Roman"/>
          <w:sz w:val="32"/>
          <w:szCs w:val="32"/>
        </w:rPr>
        <w:t>100</w:t>
      </w:r>
      <w:r>
        <w:rPr>
          <w:rFonts w:eastAsia="仿宋_GB2312" w:cs="Times New Roman"/>
          <w:sz w:val="32"/>
          <w:szCs w:val="32"/>
        </w:rPr>
        <w:t>周年大会上的重要讲话精神和十九届六中全会精神，结合科研业务工作，深刻领会在建设美丽中国打赢污染防治攻坚战这一历史使命中肩负的责任。</w:t>
      </w:r>
    </w:p>
    <w:p w14:paraId="79FD81E4"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强化研究生导师立德树人职责，要求导师将思想政治教育贯穿研究生培养的全过程，严抓师德师风建设。举办特色</w:t>
      </w:r>
      <w:proofErr w:type="gramStart"/>
      <w:r>
        <w:rPr>
          <w:rFonts w:eastAsia="仿宋_GB2312" w:cs="Times New Roman"/>
          <w:sz w:val="32"/>
          <w:szCs w:val="32"/>
        </w:rPr>
        <w:t>课程</w:t>
      </w:r>
      <w:r>
        <w:rPr>
          <w:rFonts w:eastAsia="仿宋_GB2312" w:cs="Times New Roman"/>
          <w:sz w:val="32"/>
          <w:szCs w:val="32"/>
        </w:rPr>
        <w:lastRenderedPageBreak/>
        <w:t>思政建设</w:t>
      </w:r>
      <w:proofErr w:type="gramEnd"/>
      <w:r>
        <w:rPr>
          <w:rFonts w:eastAsia="仿宋_GB2312" w:cs="Times New Roman"/>
          <w:sz w:val="32"/>
          <w:szCs w:val="32"/>
        </w:rPr>
        <w:t>研讨会，组织</w:t>
      </w:r>
      <w:proofErr w:type="gramStart"/>
      <w:r>
        <w:rPr>
          <w:rFonts w:eastAsia="仿宋_GB2312" w:cs="Times New Roman"/>
          <w:sz w:val="32"/>
          <w:szCs w:val="32"/>
        </w:rPr>
        <w:t>思政教育老师赴</w:t>
      </w:r>
      <w:proofErr w:type="gramEnd"/>
      <w:r>
        <w:rPr>
          <w:rFonts w:eastAsia="仿宋_GB2312" w:cs="Times New Roman"/>
          <w:sz w:val="32"/>
          <w:szCs w:val="32"/>
        </w:rPr>
        <w:t>北京大学、清华大学等高校学习</w:t>
      </w:r>
      <w:proofErr w:type="gramStart"/>
      <w:r>
        <w:rPr>
          <w:rFonts w:eastAsia="仿宋_GB2312" w:cs="Times New Roman"/>
          <w:sz w:val="32"/>
          <w:szCs w:val="32"/>
        </w:rPr>
        <w:t>先进思</w:t>
      </w:r>
      <w:proofErr w:type="gramEnd"/>
      <w:r>
        <w:rPr>
          <w:rFonts w:eastAsia="仿宋_GB2312" w:cs="Times New Roman"/>
          <w:sz w:val="32"/>
          <w:szCs w:val="32"/>
        </w:rPr>
        <w:t>政工作经验，提升</w:t>
      </w:r>
      <w:proofErr w:type="gramStart"/>
      <w:r>
        <w:rPr>
          <w:rFonts w:eastAsia="仿宋_GB2312" w:cs="Times New Roman"/>
          <w:sz w:val="32"/>
          <w:szCs w:val="32"/>
        </w:rPr>
        <w:t>思政教育</w:t>
      </w:r>
      <w:proofErr w:type="gramEnd"/>
      <w:r>
        <w:rPr>
          <w:rFonts w:eastAsia="仿宋_GB2312" w:cs="Times New Roman"/>
          <w:sz w:val="32"/>
          <w:szCs w:val="32"/>
        </w:rPr>
        <w:t>水平。发挥部直属科研单位师资丰富、师生比高的优势，持续开展教师与学生一对一深度辅导。</w:t>
      </w:r>
      <w:proofErr w:type="gramStart"/>
      <w:r>
        <w:rPr>
          <w:rFonts w:eastAsia="仿宋_GB2312" w:cs="Times New Roman"/>
          <w:sz w:val="32"/>
          <w:szCs w:val="32"/>
        </w:rPr>
        <w:t>按照院教育</w:t>
      </w:r>
      <w:proofErr w:type="gramEnd"/>
      <w:r>
        <w:rPr>
          <w:rFonts w:eastAsia="仿宋_GB2312" w:cs="Times New Roman"/>
          <w:sz w:val="32"/>
          <w:szCs w:val="32"/>
        </w:rPr>
        <w:t>管理网格化要求，明确导师职责，建立导师责任制，全面掌握研究生的思想动态，发挥导师的纽带作用，帮助困难学生解决生活、学业等各方面的问题，提升学生归属感</w:t>
      </w:r>
    </w:p>
    <w:p w14:paraId="0D6D10BA"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成立研究生</w:t>
      </w:r>
      <w:proofErr w:type="gramStart"/>
      <w:r>
        <w:rPr>
          <w:rFonts w:eastAsia="仿宋_GB2312" w:cs="Times New Roman"/>
          <w:sz w:val="32"/>
          <w:szCs w:val="32"/>
        </w:rPr>
        <w:t>思政教育</w:t>
      </w:r>
      <w:proofErr w:type="gramEnd"/>
      <w:r>
        <w:rPr>
          <w:rFonts w:eastAsia="仿宋_GB2312" w:cs="Times New Roman"/>
          <w:sz w:val="32"/>
          <w:szCs w:val="32"/>
        </w:rPr>
        <w:t>委员会，由院领导担任组长，各学科组长担任分会组长，各学科方向带头人为委员，将研究生</w:t>
      </w:r>
      <w:proofErr w:type="gramStart"/>
      <w:r>
        <w:rPr>
          <w:rFonts w:eastAsia="仿宋_GB2312" w:cs="Times New Roman"/>
          <w:sz w:val="32"/>
          <w:szCs w:val="32"/>
        </w:rPr>
        <w:t>思政教育</w:t>
      </w:r>
      <w:proofErr w:type="gramEnd"/>
      <w:r>
        <w:rPr>
          <w:rFonts w:eastAsia="仿宋_GB2312" w:cs="Times New Roman"/>
          <w:sz w:val="32"/>
          <w:szCs w:val="32"/>
        </w:rPr>
        <w:t>落实到人。</w:t>
      </w:r>
    </w:p>
    <w:p w14:paraId="2C275DA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积极推动专兼职辅导员队伍建设，形成</w:t>
      </w:r>
      <w:r>
        <w:rPr>
          <w:rFonts w:eastAsia="仿宋_GB2312" w:cs="Times New Roman"/>
          <w:sz w:val="32"/>
          <w:szCs w:val="32"/>
        </w:rPr>
        <w:t>“</w:t>
      </w:r>
      <w:r>
        <w:rPr>
          <w:rFonts w:eastAsia="仿宋_GB2312" w:cs="Times New Roman"/>
          <w:sz w:val="32"/>
          <w:szCs w:val="32"/>
        </w:rPr>
        <w:t>研究生院</w:t>
      </w:r>
      <w:r>
        <w:rPr>
          <w:rFonts w:eastAsia="仿宋_GB2312" w:cs="Times New Roman"/>
          <w:sz w:val="32"/>
          <w:szCs w:val="32"/>
        </w:rPr>
        <w:t>+</w:t>
      </w:r>
      <w:r>
        <w:rPr>
          <w:rFonts w:eastAsia="仿宋_GB2312" w:cs="Times New Roman"/>
          <w:sz w:val="32"/>
          <w:szCs w:val="32"/>
        </w:rPr>
        <w:t>二级单位</w:t>
      </w:r>
      <w:r>
        <w:rPr>
          <w:rFonts w:eastAsia="仿宋_GB2312" w:cs="Times New Roman"/>
          <w:sz w:val="32"/>
          <w:szCs w:val="32"/>
        </w:rPr>
        <w:t>+</w:t>
      </w:r>
      <w:r>
        <w:rPr>
          <w:rFonts w:eastAsia="仿宋_GB2312" w:cs="Times New Roman"/>
          <w:sz w:val="32"/>
          <w:szCs w:val="32"/>
        </w:rPr>
        <w:t>学生</w:t>
      </w:r>
      <w:r>
        <w:rPr>
          <w:rFonts w:eastAsia="仿宋_GB2312" w:cs="Times New Roman"/>
          <w:sz w:val="32"/>
          <w:szCs w:val="32"/>
        </w:rPr>
        <w:t>”</w:t>
      </w:r>
      <w:r>
        <w:rPr>
          <w:rFonts w:eastAsia="仿宋_GB2312" w:cs="Times New Roman"/>
          <w:sz w:val="32"/>
          <w:szCs w:val="32"/>
        </w:rPr>
        <w:t>的全员育人格局。每月召开研究生辅导员工作会议，定期开展辅导员工作沙龙，重点聚焦研究生教育管理、研究生思想政治教育等方面开展研讨。辅导员定期开展与学生的谈心谈话活动，及时关注学生思想动向；实施研究生兼职辅导员制度，聘请部分优秀研究生参与全院研究生思想政治教育及日常管理工作，组织兼职辅导员专题学习及技能培训。</w:t>
      </w:r>
    </w:p>
    <w:p w14:paraId="7D409E5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通过科教融合提升学生思想认识，达成思想政治与专业教育的有机统一，</w:t>
      </w:r>
      <w:proofErr w:type="gramStart"/>
      <w:r>
        <w:rPr>
          <w:rFonts w:eastAsia="仿宋_GB2312" w:cs="Times New Roman"/>
          <w:sz w:val="32"/>
          <w:szCs w:val="32"/>
        </w:rPr>
        <w:t>践行</w:t>
      </w:r>
      <w:proofErr w:type="gramEnd"/>
      <w:r>
        <w:rPr>
          <w:rFonts w:eastAsia="仿宋_GB2312" w:cs="Times New Roman"/>
          <w:sz w:val="32"/>
          <w:szCs w:val="32"/>
        </w:rPr>
        <w:t>习近平总书记把论文写在祖国大地上的要求。</w:t>
      </w:r>
    </w:p>
    <w:p w14:paraId="3307652B" w14:textId="77777777" w:rsidR="00AB51C8" w:rsidRDefault="00000000">
      <w:pPr>
        <w:pStyle w:val="21"/>
        <w:spacing w:line="560" w:lineRule="exact"/>
        <w:ind w:firstLineChars="200" w:firstLine="640"/>
        <w:rPr>
          <w:rFonts w:ascii="楷体_GB2312" w:eastAsia="楷体_GB2312"/>
          <w:sz w:val="32"/>
          <w:szCs w:val="32"/>
        </w:rPr>
      </w:pPr>
      <w:bookmarkStart w:id="14" w:name="_Toc101773636"/>
      <w:r>
        <w:rPr>
          <w:rFonts w:ascii="楷体_GB2312" w:eastAsia="楷体_GB2312" w:hint="eastAsia"/>
          <w:sz w:val="32"/>
          <w:szCs w:val="32"/>
        </w:rPr>
        <w:t>（二）理想信念和社会主义核心价值观教育</w:t>
      </w:r>
      <w:bookmarkEnd w:id="14"/>
    </w:p>
    <w:p w14:paraId="3DC0FC50"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深化理想信念教育。</w:t>
      </w:r>
      <w:r>
        <w:rPr>
          <w:rFonts w:eastAsia="仿宋_GB2312" w:cs="Times New Roman"/>
          <w:sz w:val="32"/>
          <w:szCs w:val="32"/>
        </w:rPr>
        <w:t>2021</w:t>
      </w:r>
      <w:r>
        <w:rPr>
          <w:rFonts w:eastAsia="仿宋_GB2312" w:cs="Times New Roman"/>
          <w:sz w:val="32"/>
          <w:szCs w:val="32"/>
        </w:rPr>
        <w:t>年以党史学习为理想教育主线，</w:t>
      </w:r>
      <w:r>
        <w:rPr>
          <w:rFonts w:eastAsia="仿宋_GB2312" w:cs="Times New Roman"/>
          <w:sz w:val="32"/>
          <w:szCs w:val="32"/>
        </w:rPr>
        <w:lastRenderedPageBreak/>
        <w:t>按照</w:t>
      </w:r>
      <w:r>
        <w:rPr>
          <w:rFonts w:eastAsia="仿宋_GB2312" w:cs="Times New Roman"/>
          <w:sz w:val="32"/>
          <w:szCs w:val="32"/>
        </w:rPr>
        <w:t>“</w:t>
      </w:r>
      <w:r>
        <w:rPr>
          <w:rFonts w:eastAsia="仿宋_GB2312" w:cs="Times New Roman"/>
          <w:sz w:val="32"/>
          <w:szCs w:val="32"/>
        </w:rPr>
        <w:t>两会</w:t>
      </w:r>
      <w:r>
        <w:rPr>
          <w:rFonts w:eastAsia="仿宋_GB2312" w:cs="Times New Roman"/>
          <w:sz w:val="32"/>
          <w:szCs w:val="32"/>
        </w:rPr>
        <w:t>”</w:t>
      </w:r>
      <w:r>
        <w:rPr>
          <w:rFonts w:eastAsia="仿宋_GB2312" w:cs="Times New Roman"/>
          <w:sz w:val="32"/>
          <w:szCs w:val="32"/>
        </w:rPr>
        <w:t>召开、五四运动、建党</w:t>
      </w:r>
      <w:r>
        <w:rPr>
          <w:rFonts w:eastAsia="仿宋_GB2312" w:cs="Times New Roman"/>
          <w:sz w:val="32"/>
          <w:szCs w:val="32"/>
        </w:rPr>
        <w:t>100</w:t>
      </w:r>
      <w:r>
        <w:rPr>
          <w:rFonts w:eastAsia="仿宋_GB2312" w:cs="Times New Roman"/>
          <w:sz w:val="32"/>
          <w:szCs w:val="32"/>
        </w:rPr>
        <w:t>周年等重要时间节点，组织开展包括</w:t>
      </w:r>
      <w:r>
        <w:rPr>
          <w:rFonts w:eastAsia="仿宋_GB2312" w:cs="Times New Roman"/>
          <w:sz w:val="32"/>
          <w:szCs w:val="32"/>
        </w:rPr>
        <w:t>“</w:t>
      </w:r>
      <w:r>
        <w:rPr>
          <w:rFonts w:eastAsia="仿宋_GB2312" w:cs="Times New Roman"/>
          <w:sz w:val="32"/>
          <w:szCs w:val="32"/>
        </w:rPr>
        <w:t>厚植家国情怀，绽放青春风采五四主题活动</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厉行勤俭节约，制止餐饮浪费</w:t>
      </w:r>
      <w:r>
        <w:rPr>
          <w:rFonts w:eastAsia="仿宋_GB2312" w:cs="Times New Roman"/>
          <w:sz w:val="32"/>
          <w:szCs w:val="32"/>
        </w:rPr>
        <w:t>”“</w:t>
      </w:r>
      <w:r>
        <w:rPr>
          <w:rFonts w:eastAsia="仿宋_GB2312" w:cs="Times New Roman"/>
          <w:sz w:val="32"/>
          <w:szCs w:val="32"/>
        </w:rPr>
        <w:t>不忘初心、弘扬优良家风</w:t>
      </w:r>
      <w:r>
        <w:rPr>
          <w:rFonts w:eastAsia="仿宋_GB2312" w:cs="Times New Roman"/>
          <w:sz w:val="32"/>
          <w:szCs w:val="32"/>
        </w:rPr>
        <w:t>”</w:t>
      </w:r>
      <w:r>
        <w:rPr>
          <w:rFonts w:eastAsia="仿宋_GB2312" w:cs="Times New Roman"/>
          <w:sz w:val="32"/>
          <w:szCs w:val="32"/>
        </w:rPr>
        <w:t>等系列主题教育活动，并围绕习近平总书记讲话、回信精神展开大学习、大讨论。以习近平生态文明思想为指导，服务国家生态环境保护战略为主题，深入打好污染防治攻坚战为主要目标，组织全体师生开展</w:t>
      </w:r>
      <w:r>
        <w:rPr>
          <w:rFonts w:eastAsia="仿宋_GB2312" w:cs="Times New Roman"/>
          <w:sz w:val="32"/>
          <w:szCs w:val="32"/>
        </w:rPr>
        <w:t>“</w:t>
      </w:r>
      <w:r>
        <w:rPr>
          <w:rFonts w:eastAsia="仿宋_GB2312" w:cs="Times New Roman"/>
          <w:sz w:val="32"/>
          <w:szCs w:val="32"/>
        </w:rPr>
        <w:t>打好污染防治攻坚战，我要做出新贡献</w:t>
      </w:r>
      <w:r>
        <w:rPr>
          <w:rFonts w:eastAsia="仿宋_GB2312" w:cs="Times New Roman"/>
          <w:sz w:val="32"/>
          <w:szCs w:val="32"/>
        </w:rPr>
        <w:t>”“</w:t>
      </w:r>
      <w:r>
        <w:rPr>
          <w:rFonts w:eastAsia="仿宋_GB2312" w:cs="Times New Roman"/>
          <w:sz w:val="32"/>
          <w:szCs w:val="32"/>
        </w:rPr>
        <w:t>不忘初心，牢记使命</w:t>
      </w:r>
      <w:r>
        <w:rPr>
          <w:rFonts w:eastAsia="仿宋_GB2312" w:cs="Times New Roman"/>
          <w:sz w:val="32"/>
          <w:szCs w:val="32"/>
        </w:rPr>
        <w:t>”</w:t>
      </w:r>
      <w:r>
        <w:rPr>
          <w:rFonts w:eastAsia="仿宋_GB2312" w:cs="Times New Roman"/>
          <w:sz w:val="32"/>
          <w:szCs w:val="32"/>
        </w:rPr>
        <w:t>等系列主题教育活动，邀请院士、知名专家开展讲座，厚植师生家国情怀，将个人成长规划融入国家生态保护战略需求中去。有计划的安排全体师生参加部、院组织的环保大讲堂等系列讲座；通过支部开展的党史学习系列党课宣讲，加强师生间的交流，在思想上时刻同以习近平同志为核心的党中央保持高度一致，激发每个人的历史情怀和责任担当。</w:t>
      </w:r>
    </w:p>
    <w:p w14:paraId="2F9C4CC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加强研究生党员骨干队伍建设。邀请院领导、研究生导师、部门工作人员等做主题报告并与学员进行座谈，课程内容包含脱贫攻坚、抗击疫情、大国外交、生态文明等多个时事主题；注重加强研究生党员骨干培养，进行思想培训，提供学习锻炼机会。</w:t>
      </w:r>
    </w:p>
    <w:p w14:paraId="1A3B0FBE" w14:textId="49A13DFC" w:rsidR="00AB51C8" w:rsidRDefault="00000000">
      <w:pPr>
        <w:spacing w:line="560" w:lineRule="exact"/>
        <w:ind w:firstLine="640"/>
        <w:rPr>
          <w:rFonts w:eastAsia="仿宋_GB2312" w:cs="Times New Roman"/>
          <w:sz w:val="32"/>
          <w:szCs w:val="32"/>
        </w:rPr>
      </w:pPr>
      <w:r>
        <w:rPr>
          <w:rFonts w:eastAsia="仿宋_GB2312" w:cs="Times New Roman"/>
          <w:sz w:val="32"/>
          <w:szCs w:val="32"/>
        </w:rPr>
        <w:t>深入</w:t>
      </w:r>
      <w:proofErr w:type="gramStart"/>
      <w:r>
        <w:rPr>
          <w:rFonts w:eastAsia="仿宋_GB2312" w:cs="Times New Roman"/>
          <w:sz w:val="32"/>
          <w:szCs w:val="32"/>
        </w:rPr>
        <w:t>践行</w:t>
      </w:r>
      <w:proofErr w:type="gramEnd"/>
      <w:r>
        <w:rPr>
          <w:rFonts w:eastAsia="仿宋_GB2312" w:cs="Times New Roman"/>
          <w:sz w:val="32"/>
          <w:szCs w:val="32"/>
        </w:rPr>
        <w:t>“</w:t>
      </w:r>
      <w:r>
        <w:rPr>
          <w:rFonts w:eastAsia="仿宋_GB2312" w:cs="Times New Roman"/>
          <w:sz w:val="32"/>
          <w:szCs w:val="32"/>
        </w:rPr>
        <w:t>把论文写在祖国大地上</w:t>
      </w:r>
      <w:r>
        <w:rPr>
          <w:rFonts w:eastAsia="仿宋_GB2312" w:cs="Times New Roman"/>
          <w:sz w:val="32"/>
          <w:szCs w:val="32"/>
        </w:rPr>
        <w:t>”</w:t>
      </w:r>
      <w:r>
        <w:rPr>
          <w:rFonts w:eastAsia="仿宋_GB2312" w:cs="Times New Roman"/>
          <w:sz w:val="32"/>
          <w:szCs w:val="32"/>
        </w:rPr>
        <w:t>。依托中国环境科学研究院的国家级科技创新平台，搭建产学研协同育人平台，推动研究生深入科研和污染防治第一线，使全体研究生深度参与国家级创新课题和野外科学观测研究，通过科教融合提升学生思</w:t>
      </w:r>
      <w:r>
        <w:rPr>
          <w:rFonts w:eastAsia="仿宋_GB2312" w:cs="Times New Roman"/>
          <w:sz w:val="32"/>
          <w:szCs w:val="32"/>
        </w:rPr>
        <w:lastRenderedPageBreak/>
        <w:t>想认识，达成</w:t>
      </w:r>
      <w:proofErr w:type="gramStart"/>
      <w:r>
        <w:rPr>
          <w:rFonts w:eastAsia="仿宋_GB2312" w:cs="Times New Roman"/>
          <w:sz w:val="32"/>
          <w:szCs w:val="32"/>
        </w:rPr>
        <w:t>思政教育</w:t>
      </w:r>
      <w:proofErr w:type="gramEnd"/>
      <w:r>
        <w:rPr>
          <w:rFonts w:eastAsia="仿宋_GB2312" w:cs="Times New Roman"/>
          <w:sz w:val="32"/>
          <w:szCs w:val="32"/>
        </w:rPr>
        <w:t>与专业教育的有机统一，生动</w:t>
      </w:r>
      <w:proofErr w:type="gramStart"/>
      <w:r>
        <w:rPr>
          <w:rFonts w:eastAsia="仿宋_GB2312" w:cs="Times New Roman"/>
          <w:sz w:val="32"/>
          <w:szCs w:val="32"/>
        </w:rPr>
        <w:t>践行</w:t>
      </w:r>
      <w:proofErr w:type="gramEnd"/>
      <w:r>
        <w:rPr>
          <w:rFonts w:eastAsia="仿宋_GB2312" w:cs="Times New Roman"/>
          <w:sz w:val="32"/>
          <w:szCs w:val="32"/>
        </w:rPr>
        <w:t>习</w:t>
      </w:r>
      <w:r w:rsidR="00853EBC">
        <w:rPr>
          <w:rFonts w:eastAsia="仿宋_GB2312" w:cs="Times New Roman" w:hint="eastAsia"/>
          <w:sz w:val="32"/>
          <w:szCs w:val="32"/>
        </w:rPr>
        <w:t>近平</w:t>
      </w:r>
      <w:r>
        <w:rPr>
          <w:rFonts w:eastAsia="仿宋_GB2312" w:cs="Times New Roman"/>
          <w:sz w:val="32"/>
          <w:szCs w:val="32"/>
        </w:rPr>
        <w:t>总书记把论文写在祖国大地上的要求。</w:t>
      </w:r>
    </w:p>
    <w:p w14:paraId="66D7B97F" w14:textId="77777777" w:rsidR="00AB51C8" w:rsidRDefault="00000000">
      <w:pPr>
        <w:pStyle w:val="21"/>
        <w:spacing w:line="560" w:lineRule="exact"/>
        <w:ind w:firstLineChars="200" w:firstLine="640"/>
        <w:rPr>
          <w:rFonts w:ascii="楷体_GB2312" w:eastAsia="楷体_GB2312"/>
          <w:sz w:val="32"/>
          <w:szCs w:val="32"/>
        </w:rPr>
      </w:pPr>
      <w:bookmarkStart w:id="15" w:name="_Toc101773637"/>
      <w:r>
        <w:rPr>
          <w:rFonts w:ascii="楷体_GB2312" w:eastAsia="楷体_GB2312" w:hint="eastAsia"/>
          <w:sz w:val="32"/>
          <w:szCs w:val="32"/>
        </w:rPr>
        <w:t>（三）院所文化建设</w:t>
      </w:r>
      <w:bookmarkEnd w:id="15"/>
    </w:p>
    <w:p w14:paraId="7CF4364B"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学风与学术道德教育：继续深入实施研究生科学道德培育工程，组织本学位点硕士生广泛开展科学道德和学风建设教育学习活动，组织学习全国科学道德和学风建设宣讲教育报告会精神，加强研究生科学道德教育，通过专家、导师和同辈榜样辅导的方式，实现对研究生新生群体的全覆盖；面向全校研究生开展警示教育，分享学术不端案例。制定了《中国环境科学研究院研究生行为准则》《中国环境科学研究院研究生不端行为认定与处理办法》使在读研究生认识到学术不端的危害，以及科学道德和学风建设的重要性，养成科学严谨的工作态度。建立了学术不端监督和信息举报渠道。截止目前，本学位点未收到关于师生出现学术不端行为的举报。</w:t>
      </w:r>
    </w:p>
    <w:p w14:paraId="3FD3D06F"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学术文化活动：通过开展</w:t>
      </w:r>
      <w:r>
        <w:rPr>
          <w:rFonts w:eastAsia="仿宋_GB2312" w:cs="Times New Roman"/>
          <w:sz w:val="32"/>
          <w:szCs w:val="32"/>
        </w:rPr>
        <w:t>“</w:t>
      </w:r>
      <w:r>
        <w:rPr>
          <w:rFonts w:eastAsia="仿宋_GB2312" w:cs="Times New Roman"/>
          <w:sz w:val="32"/>
          <w:szCs w:val="32"/>
        </w:rPr>
        <w:t>不忘初心，牢记使命</w:t>
      </w:r>
      <w:r>
        <w:rPr>
          <w:rFonts w:eastAsia="仿宋_GB2312" w:cs="Times New Roman"/>
          <w:sz w:val="32"/>
          <w:szCs w:val="32"/>
        </w:rPr>
        <w:t>”“</w:t>
      </w:r>
      <w:r>
        <w:rPr>
          <w:rFonts w:eastAsia="仿宋_GB2312" w:cs="Times New Roman"/>
          <w:sz w:val="32"/>
          <w:szCs w:val="32"/>
        </w:rPr>
        <w:t>打好污染防治攻坚战，我要做出新贡献</w:t>
      </w:r>
      <w:r>
        <w:rPr>
          <w:rFonts w:eastAsia="仿宋_GB2312" w:cs="Times New Roman"/>
          <w:sz w:val="32"/>
          <w:szCs w:val="32"/>
        </w:rPr>
        <w:t>”“</w:t>
      </w:r>
      <w:r>
        <w:rPr>
          <w:rFonts w:eastAsia="仿宋_GB2312" w:cs="Times New Roman"/>
          <w:sz w:val="32"/>
          <w:szCs w:val="32"/>
        </w:rPr>
        <w:t>以案为鉴，守土有责</w:t>
      </w:r>
      <w:r>
        <w:rPr>
          <w:rFonts w:eastAsia="仿宋_GB2312" w:cs="Times New Roman"/>
          <w:sz w:val="32"/>
          <w:szCs w:val="32"/>
        </w:rPr>
        <w:t>”</w:t>
      </w:r>
      <w:r>
        <w:rPr>
          <w:rFonts w:eastAsia="仿宋_GB2312" w:cs="Times New Roman"/>
          <w:sz w:val="32"/>
          <w:szCs w:val="32"/>
        </w:rPr>
        <w:t>等专项教育活动，邀请中央党校、清华大学等单位的院士和知名专家，围绕生态文明建设、家风传承、航天精神等内容开展系列讲座，进一步弘扬勇于奉献、刻苦钻研、严谨治学的科学家精神，号召全体师生学习。</w:t>
      </w:r>
    </w:p>
    <w:p w14:paraId="3BF00F76" w14:textId="77777777" w:rsidR="00AB51C8" w:rsidRDefault="00000000">
      <w:pPr>
        <w:pStyle w:val="21"/>
        <w:spacing w:line="560" w:lineRule="exact"/>
        <w:ind w:firstLineChars="200" w:firstLine="640"/>
        <w:rPr>
          <w:rFonts w:ascii="楷体_GB2312" w:eastAsia="楷体_GB2312"/>
          <w:sz w:val="32"/>
          <w:szCs w:val="32"/>
        </w:rPr>
      </w:pPr>
      <w:bookmarkStart w:id="16" w:name="_Toc101773638"/>
      <w:r>
        <w:rPr>
          <w:rFonts w:ascii="楷体_GB2312" w:eastAsia="楷体_GB2312" w:hint="eastAsia"/>
          <w:sz w:val="32"/>
          <w:szCs w:val="32"/>
        </w:rPr>
        <w:t>（四）日常管理服务工作</w:t>
      </w:r>
      <w:bookmarkEnd w:id="16"/>
    </w:p>
    <w:p w14:paraId="038DF33E"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疫情防控工作：结合疫情防控特殊形式，策划推出</w:t>
      </w:r>
      <w:r>
        <w:rPr>
          <w:rFonts w:eastAsia="仿宋_GB2312" w:cs="Times New Roman"/>
          <w:sz w:val="32"/>
          <w:szCs w:val="32"/>
        </w:rPr>
        <w:t>“</w:t>
      </w:r>
      <w:r>
        <w:rPr>
          <w:rFonts w:eastAsia="仿宋_GB2312" w:cs="Times New Roman"/>
          <w:sz w:val="32"/>
          <w:szCs w:val="32"/>
        </w:rPr>
        <w:t>共同战</w:t>
      </w:r>
      <w:r>
        <w:rPr>
          <w:rFonts w:eastAsia="仿宋_GB2312" w:cs="Times New Roman"/>
          <w:sz w:val="32"/>
          <w:szCs w:val="32"/>
        </w:rPr>
        <w:lastRenderedPageBreak/>
        <w:t>‘</w:t>
      </w:r>
      <w:r>
        <w:rPr>
          <w:rFonts w:eastAsia="仿宋_GB2312" w:cs="Times New Roman"/>
          <w:sz w:val="32"/>
          <w:szCs w:val="32"/>
        </w:rPr>
        <w:t>疫</w:t>
      </w:r>
      <w:r>
        <w:rPr>
          <w:rFonts w:eastAsia="仿宋_GB2312" w:cs="Times New Roman"/>
          <w:sz w:val="32"/>
          <w:szCs w:val="32"/>
        </w:rPr>
        <w:t>’</w:t>
      </w:r>
      <w:r>
        <w:rPr>
          <w:rFonts w:eastAsia="仿宋_GB2312" w:cs="Times New Roman"/>
          <w:sz w:val="32"/>
          <w:szCs w:val="32"/>
        </w:rPr>
        <w:t>，共渡难关</w:t>
      </w:r>
      <w:r>
        <w:rPr>
          <w:rFonts w:eastAsia="仿宋_GB2312" w:cs="Times New Roman"/>
          <w:sz w:val="32"/>
          <w:szCs w:val="32"/>
        </w:rPr>
        <w:t>”</w:t>
      </w:r>
      <w:r>
        <w:rPr>
          <w:rFonts w:eastAsia="仿宋_GB2312" w:cs="Times New Roman"/>
          <w:sz w:val="32"/>
          <w:szCs w:val="32"/>
        </w:rPr>
        <w:t>系列活动，实行线上健康打卡活动，严格落实北京地区疫情防控管理政策，特别是春节期间，组织慰问留院过年学生；开设</w:t>
      </w:r>
      <w:r>
        <w:rPr>
          <w:rFonts w:eastAsia="仿宋_GB2312" w:cs="Times New Roman"/>
          <w:sz w:val="32"/>
          <w:szCs w:val="32"/>
        </w:rPr>
        <w:t>“</w:t>
      </w:r>
      <w:r>
        <w:rPr>
          <w:rFonts w:eastAsia="仿宋_GB2312" w:cs="Times New Roman"/>
          <w:sz w:val="32"/>
          <w:szCs w:val="32"/>
        </w:rPr>
        <w:t>一图一故事</w:t>
      </w:r>
      <w:r>
        <w:rPr>
          <w:rFonts w:eastAsia="仿宋_GB2312" w:cs="Times New Roman"/>
          <w:sz w:val="32"/>
          <w:szCs w:val="32"/>
        </w:rPr>
        <w:t>”</w:t>
      </w:r>
      <w:r>
        <w:rPr>
          <w:rFonts w:eastAsia="仿宋_GB2312" w:cs="Times New Roman"/>
          <w:sz w:val="32"/>
          <w:szCs w:val="32"/>
        </w:rPr>
        <w:t>专题栏目，累计阅读量近万次；举办线上课程，开设包括学术前沿、就业创业、综合科普、实用技能等课程；开展</w:t>
      </w:r>
      <w:r>
        <w:rPr>
          <w:rFonts w:eastAsia="仿宋_GB2312" w:cs="Times New Roman"/>
          <w:sz w:val="32"/>
          <w:szCs w:val="32"/>
        </w:rPr>
        <w:t>“</w:t>
      </w:r>
      <w:r>
        <w:rPr>
          <w:rFonts w:eastAsia="仿宋_GB2312" w:cs="Times New Roman"/>
          <w:sz w:val="32"/>
          <w:szCs w:val="32"/>
        </w:rPr>
        <w:t>生态扶贫，助农战</w:t>
      </w:r>
      <w:proofErr w:type="gramStart"/>
      <w:r>
        <w:rPr>
          <w:rFonts w:eastAsia="仿宋_GB2312" w:cs="Times New Roman"/>
          <w:sz w:val="32"/>
          <w:szCs w:val="32"/>
        </w:rPr>
        <w:t>疫</w:t>
      </w:r>
      <w:proofErr w:type="gramEnd"/>
      <w:r>
        <w:rPr>
          <w:rFonts w:eastAsia="仿宋_GB2312" w:cs="Times New Roman"/>
          <w:sz w:val="32"/>
          <w:szCs w:val="32"/>
        </w:rPr>
        <w:t>”</w:t>
      </w:r>
      <w:r>
        <w:rPr>
          <w:rFonts w:eastAsia="仿宋_GB2312" w:cs="Times New Roman"/>
          <w:sz w:val="32"/>
          <w:szCs w:val="32"/>
        </w:rPr>
        <w:t>消费扶贫活动；挖掘生态环保系统志愿服务疫情防控优秀榜样并进行宣传，鼓励研究生积极参与疫情防控工作，为抗击疫情贡献青春力量。</w:t>
      </w:r>
    </w:p>
    <w:p w14:paraId="77B94F09" w14:textId="77777777" w:rsidR="00AB51C8" w:rsidRDefault="00000000">
      <w:pPr>
        <w:pStyle w:val="1"/>
        <w:spacing w:line="560" w:lineRule="exact"/>
        <w:ind w:firstLineChars="200" w:firstLine="640"/>
        <w:rPr>
          <w:b w:val="0"/>
          <w:bCs w:val="0"/>
        </w:rPr>
      </w:pPr>
      <w:bookmarkStart w:id="17" w:name="_Toc101773639"/>
      <w:r>
        <w:rPr>
          <w:rFonts w:hint="eastAsia"/>
          <w:b w:val="0"/>
          <w:bCs w:val="0"/>
        </w:rPr>
        <w:t>三、研究生培养相关制度及执行情况</w:t>
      </w:r>
      <w:bookmarkEnd w:id="17"/>
    </w:p>
    <w:p w14:paraId="1B1A1158" w14:textId="77777777" w:rsidR="00AB51C8" w:rsidRDefault="00000000">
      <w:pPr>
        <w:pStyle w:val="21"/>
        <w:spacing w:line="560" w:lineRule="exact"/>
        <w:ind w:firstLineChars="200" w:firstLine="640"/>
        <w:rPr>
          <w:rFonts w:ascii="楷体_GB2312" w:eastAsia="楷体_GB2312"/>
          <w:sz w:val="32"/>
          <w:szCs w:val="32"/>
        </w:rPr>
      </w:pPr>
      <w:bookmarkStart w:id="18" w:name="_Toc101773640"/>
      <w:r>
        <w:rPr>
          <w:rFonts w:ascii="楷体_GB2312" w:eastAsia="楷体_GB2312" w:hint="eastAsia"/>
          <w:sz w:val="32"/>
          <w:szCs w:val="32"/>
        </w:rPr>
        <w:t>（一）课程建设与实施情况</w:t>
      </w:r>
      <w:bookmarkEnd w:id="18"/>
    </w:p>
    <w:p w14:paraId="5218273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本学位点严格按照《中国环境科学研究院攻读硕士学位培养方案》进行，在培养方向、学习年限、课程设置和学分要求、必修环节和论文撰写等环节均进行了规范化要求。在课程设置方面，除了学科专业课、学科</w:t>
      </w:r>
      <w:proofErr w:type="gramStart"/>
      <w:r>
        <w:rPr>
          <w:rFonts w:eastAsia="仿宋_GB2312" w:cs="Times New Roman"/>
          <w:sz w:val="32"/>
          <w:szCs w:val="32"/>
        </w:rPr>
        <w:t>普及课</w:t>
      </w:r>
      <w:proofErr w:type="gramEnd"/>
      <w:r>
        <w:rPr>
          <w:rFonts w:eastAsia="仿宋_GB2312" w:cs="Times New Roman"/>
          <w:sz w:val="32"/>
          <w:szCs w:val="32"/>
        </w:rPr>
        <w:t>和学科研讨课之外，还需要选择公共必修课（《中国特色社会主义理论与实践》、《自然</w:t>
      </w:r>
      <w:proofErr w:type="gramStart"/>
      <w:r>
        <w:rPr>
          <w:rFonts w:eastAsia="仿宋_GB2312" w:cs="Times New Roman"/>
          <w:sz w:val="32"/>
          <w:szCs w:val="32"/>
        </w:rPr>
        <w:t>辨证法</w:t>
      </w:r>
      <w:proofErr w:type="gramEnd"/>
      <w:r>
        <w:rPr>
          <w:rFonts w:eastAsia="仿宋_GB2312" w:cs="Times New Roman"/>
          <w:sz w:val="32"/>
          <w:szCs w:val="32"/>
        </w:rPr>
        <w:t>概率》、《学术道德与学术写作规范》和《硕士学位英语》），以及一定学分选修课（包括系列人文讲座和科学前言讲座），可满足硕士研究生的选课需求。其中部分专业相关课程见</w:t>
      </w:r>
      <w:r>
        <w:rPr>
          <w:rFonts w:eastAsia="仿宋_GB2312" w:cs="Times New Roman"/>
          <w:sz w:val="32"/>
          <w:szCs w:val="32"/>
        </w:rPr>
        <w:fldChar w:fldCharType="begin"/>
      </w:r>
      <w:r>
        <w:rPr>
          <w:rFonts w:eastAsia="仿宋_GB2312" w:cs="Times New Roman"/>
          <w:sz w:val="32"/>
          <w:szCs w:val="32"/>
        </w:rPr>
        <w:instrText xml:space="preserve"> REF _Ref101769438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b/>
          <w:sz w:val="32"/>
          <w:szCs w:val="32"/>
        </w:rPr>
        <w:t>表</w:t>
      </w:r>
      <w:r>
        <w:rPr>
          <w:rFonts w:eastAsia="仿宋_GB2312" w:cs="Times New Roman"/>
          <w:b/>
          <w:sz w:val="32"/>
          <w:szCs w:val="32"/>
        </w:rPr>
        <w:t xml:space="preserve"> 6</w:t>
      </w:r>
      <w:r>
        <w:rPr>
          <w:rFonts w:eastAsia="仿宋_GB2312" w:cs="Times New Roman"/>
          <w:sz w:val="32"/>
          <w:szCs w:val="32"/>
        </w:rPr>
        <w:fldChar w:fldCharType="end"/>
      </w:r>
      <w:r>
        <w:rPr>
          <w:rFonts w:eastAsia="仿宋_GB2312" w:cs="Times New Roman"/>
          <w:sz w:val="32"/>
          <w:szCs w:val="32"/>
        </w:rPr>
        <w:t>。课程教学按照教学大纲进行，由研究生课程督导小组对授课情况和效果进行监督和指导。</w:t>
      </w:r>
    </w:p>
    <w:p w14:paraId="03A58FC6"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学位课程采用教材与内部讲义、参考资料相结合的方式授课，采用科教融合方式来培养学生科研能力。定期组织研究生听取前沿讲座，使学生能与科研一线专家学者进行互动交流；</w:t>
      </w:r>
      <w:r>
        <w:rPr>
          <w:rFonts w:eastAsia="仿宋_GB2312" w:cs="Times New Roman"/>
          <w:sz w:val="32"/>
          <w:szCs w:val="32"/>
        </w:rPr>
        <w:lastRenderedPageBreak/>
        <w:t>组织学生参观、实习，创造浓厚的科研氛围，培养学生的科研热情。研究生第一学年在中国科学院大学完成相关课程学习。第二学年到中国环境科学研究院，后在导师指导下根据培养方向和研究课题制定个人学习计划，开展科研工作，将</w:t>
      </w:r>
      <w:r>
        <w:rPr>
          <w:rFonts w:eastAsia="仿宋_GB2312" w:cs="Times New Roman"/>
          <w:sz w:val="32"/>
          <w:szCs w:val="32"/>
        </w:rPr>
        <w:t>“</w:t>
      </w:r>
      <w:r>
        <w:rPr>
          <w:rFonts w:eastAsia="仿宋_GB2312" w:cs="Times New Roman"/>
          <w:sz w:val="32"/>
          <w:szCs w:val="32"/>
        </w:rPr>
        <w:t>学</w:t>
      </w:r>
      <w:r>
        <w:rPr>
          <w:rFonts w:eastAsia="仿宋_GB2312" w:cs="Times New Roman"/>
          <w:sz w:val="32"/>
          <w:szCs w:val="32"/>
        </w:rPr>
        <w:t>”</w:t>
      </w:r>
      <w:r>
        <w:rPr>
          <w:rFonts w:eastAsia="仿宋_GB2312" w:cs="Times New Roman"/>
          <w:sz w:val="32"/>
          <w:szCs w:val="32"/>
        </w:rPr>
        <w:t>与</w:t>
      </w:r>
      <w:r>
        <w:rPr>
          <w:rFonts w:eastAsia="仿宋_GB2312" w:cs="Times New Roman"/>
          <w:sz w:val="32"/>
          <w:szCs w:val="32"/>
        </w:rPr>
        <w:t>“</w:t>
      </w:r>
      <w:r>
        <w:rPr>
          <w:rFonts w:eastAsia="仿宋_GB2312" w:cs="Times New Roman"/>
          <w:sz w:val="32"/>
          <w:szCs w:val="32"/>
        </w:rPr>
        <w:t>用</w:t>
      </w:r>
      <w:r>
        <w:rPr>
          <w:rFonts w:eastAsia="仿宋_GB2312" w:cs="Times New Roman"/>
          <w:sz w:val="32"/>
          <w:szCs w:val="32"/>
        </w:rPr>
        <w:t>”</w:t>
      </w:r>
      <w:r>
        <w:rPr>
          <w:rFonts w:eastAsia="仿宋_GB2312" w:cs="Times New Roman"/>
          <w:sz w:val="32"/>
          <w:szCs w:val="32"/>
        </w:rPr>
        <w:t>相结合，参与到环境经济与政策领域的科研、规划工作中。</w:t>
      </w:r>
    </w:p>
    <w:p w14:paraId="01895F26" w14:textId="77777777" w:rsidR="00AB51C8" w:rsidRDefault="00000000">
      <w:pPr>
        <w:pStyle w:val="a5"/>
        <w:rPr>
          <w:rFonts w:eastAsia="仿宋_GB2312" w:cs="Times New Roman"/>
          <w:b/>
          <w:sz w:val="28"/>
          <w:szCs w:val="28"/>
        </w:rPr>
      </w:pPr>
      <w:bookmarkStart w:id="19" w:name="_Ref101769438"/>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6</w:t>
      </w:r>
      <w:r>
        <w:rPr>
          <w:rFonts w:eastAsia="仿宋_GB2312" w:cs="Times New Roman"/>
          <w:b/>
          <w:sz w:val="28"/>
          <w:szCs w:val="28"/>
        </w:rPr>
        <w:fldChar w:fldCharType="end"/>
      </w:r>
      <w:bookmarkEnd w:id="19"/>
      <w:r>
        <w:rPr>
          <w:rFonts w:eastAsia="仿宋_GB2312" w:cs="Times New Roman"/>
          <w:b/>
          <w:sz w:val="28"/>
          <w:szCs w:val="28"/>
        </w:rPr>
        <w:t xml:space="preserve"> </w:t>
      </w:r>
      <w:r>
        <w:rPr>
          <w:rFonts w:eastAsia="仿宋_GB2312" w:cs="Times New Roman"/>
          <w:b/>
          <w:sz w:val="28"/>
          <w:szCs w:val="28"/>
        </w:rPr>
        <w:t>学位点主要课程开设情况</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708"/>
        <w:gridCol w:w="709"/>
        <w:gridCol w:w="738"/>
        <w:gridCol w:w="1842"/>
        <w:gridCol w:w="709"/>
        <w:gridCol w:w="2977"/>
      </w:tblGrid>
      <w:tr w:rsidR="00AB51C8" w14:paraId="52D229E2" w14:textId="77777777">
        <w:trPr>
          <w:trHeight w:val="612"/>
        </w:trPr>
        <w:tc>
          <w:tcPr>
            <w:tcW w:w="392" w:type="dxa"/>
            <w:vAlign w:val="center"/>
          </w:tcPr>
          <w:p w14:paraId="0E13DB79"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序号</w:t>
            </w:r>
          </w:p>
        </w:tc>
        <w:tc>
          <w:tcPr>
            <w:tcW w:w="709" w:type="dxa"/>
            <w:vAlign w:val="center"/>
          </w:tcPr>
          <w:p w14:paraId="2AD759F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课程名称</w:t>
            </w:r>
          </w:p>
        </w:tc>
        <w:tc>
          <w:tcPr>
            <w:tcW w:w="708" w:type="dxa"/>
            <w:vAlign w:val="center"/>
          </w:tcPr>
          <w:p w14:paraId="22A2659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课程类型</w:t>
            </w:r>
          </w:p>
        </w:tc>
        <w:tc>
          <w:tcPr>
            <w:tcW w:w="709" w:type="dxa"/>
            <w:vAlign w:val="center"/>
          </w:tcPr>
          <w:p w14:paraId="4B20AE7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学分</w:t>
            </w:r>
          </w:p>
        </w:tc>
        <w:tc>
          <w:tcPr>
            <w:tcW w:w="738" w:type="dxa"/>
            <w:vAlign w:val="center"/>
          </w:tcPr>
          <w:p w14:paraId="3FD28B9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授课教师</w:t>
            </w:r>
          </w:p>
        </w:tc>
        <w:tc>
          <w:tcPr>
            <w:tcW w:w="1842" w:type="dxa"/>
            <w:vAlign w:val="center"/>
          </w:tcPr>
          <w:p w14:paraId="0B4245C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课程简介</w:t>
            </w:r>
          </w:p>
        </w:tc>
        <w:tc>
          <w:tcPr>
            <w:tcW w:w="709" w:type="dxa"/>
            <w:vAlign w:val="center"/>
          </w:tcPr>
          <w:p w14:paraId="087A901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授课语言</w:t>
            </w:r>
          </w:p>
        </w:tc>
        <w:tc>
          <w:tcPr>
            <w:tcW w:w="2977" w:type="dxa"/>
            <w:vAlign w:val="center"/>
          </w:tcPr>
          <w:p w14:paraId="60F5DAA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课程简要大纲</w:t>
            </w:r>
          </w:p>
        </w:tc>
      </w:tr>
      <w:tr w:rsidR="00AB51C8" w14:paraId="48CB3463" w14:textId="77777777">
        <w:trPr>
          <w:trHeight w:val="612"/>
        </w:trPr>
        <w:tc>
          <w:tcPr>
            <w:tcW w:w="392" w:type="dxa"/>
            <w:vAlign w:val="center"/>
          </w:tcPr>
          <w:p w14:paraId="639DAE8C"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p>
        </w:tc>
        <w:tc>
          <w:tcPr>
            <w:tcW w:w="709" w:type="dxa"/>
            <w:vAlign w:val="center"/>
          </w:tcPr>
          <w:p w14:paraId="333E1CD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政策模拟方法</w:t>
            </w:r>
          </w:p>
        </w:tc>
        <w:tc>
          <w:tcPr>
            <w:tcW w:w="708" w:type="dxa"/>
            <w:vAlign w:val="center"/>
          </w:tcPr>
          <w:p w14:paraId="70E4E76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专业核心课</w:t>
            </w:r>
          </w:p>
        </w:tc>
        <w:tc>
          <w:tcPr>
            <w:tcW w:w="709" w:type="dxa"/>
            <w:vAlign w:val="center"/>
          </w:tcPr>
          <w:p w14:paraId="188E33F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3.0</w:t>
            </w:r>
          </w:p>
        </w:tc>
        <w:tc>
          <w:tcPr>
            <w:tcW w:w="738" w:type="dxa"/>
            <w:vAlign w:val="center"/>
          </w:tcPr>
          <w:p w14:paraId="226C1A3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吴静等</w:t>
            </w:r>
          </w:p>
        </w:tc>
        <w:tc>
          <w:tcPr>
            <w:tcW w:w="1842" w:type="dxa"/>
            <w:vAlign w:val="center"/>
          </w:tcPr>
          <w:p w14:paraId="2837870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政策模拟是用已经估出参数值的经济计量模型，计算出不同政策方案的后果，以便进行政策评价。课程主要涉及最优控制法、元胞自动机、基于自主体建模、一般均衡模型等内容。</w:t>
            </w:r>
          </w:p>
        </w:tc>
        <w:tc>
          <w:tcPr>
            <w:tcW w:w="709" w:type="dxa"/>
            <w:vAlign w:val="center"/>
          </w:tcPr>
          <w:p w14:paraId="7542F9F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w:t>
            </w:r>
          </w:p>
        </w:tc>
        <w:tc>
          <w:tcPr>
            <w:tcW w:w="2977" w:type="dxa"/>
            <w:vAlign w:val="center"/>
          </w:tcPr>
          <w:p w14:paraId="257C794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政策科学与政策模拟引论</w:t>
            </w:r>
          </w:p>
          <w:p w14:paraId="334699D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政策模拟的最优控制方法</w:t>
            </w:r>
          </w:p>
          <w:p w14:paraId="368904F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最优控制问题求解</w:t>
            </w:r>
          </w:p>
          <w:p w14:paraId="4190E14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复杂系统简介与元胞自动机</w:t>
            </w:r>
          </w:p>
          <w:p w14:paraId="6E1F67A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基于自主体建模</w:t>
            </w:r>
            <w:r>
              <w:rPr>
                <w:rFonts w:ascii="Times New Roman" w:eastAsia="仿宋_GB2312" w:hAnsi="Times New Roman" w:cs="Times New Roman"/>
                <w:bCs/>
              </w:rPr>
              <w:t xml:space="preserve"> </w:t>
            </w:r>
          </w:p>
          <w:p w14:paraId="45D8BCC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自主体建模实践</w:t>
            </w:r>
            <w:r>
              <w:rPr>
                <w:rFonts w:ascii="Times New Roman" w:eastAsia="仿宋_GB2312" w:hAnsi="Times New Roman" w:cs="Times New Roman"/>
                <w:bCs/>
              </w:rPr>
              <w:t xml:space="preserve"> </w:t>
            </w:r>
          </w:p>
          <w:p w14:paraId="26CFC86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可计算一般均衡方法概述</w:t>
            </w:r>
          </w:p>
          <w:p w14:paraId="0C491A8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可计算一般均衡方法基础知识</w:t>
            </w:r>
          </w:p>
          <w:p w14:paraId="6B8A619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可计算一般均衡方法建模</w:t>
            </w:r>
          </w:p>
          <w:p w14:paraId="36CF97F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可计算一般均衡政策模拟系统</w:t>
            </w:r>
          </w:p>
          <w:p w14:paraId="5505564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第十一章</w:t>
            </w:r>
            <w:r>
              <w:rPr>
                <w:rFonts w:ascii="Times New Roman" w:eastAsia="仿宋_GB2312" w:hAnsi="Times New Roman" w:cs="Times New Roman"/>
                <w:bCs/>
              </w:rPr>
              <w:t xml:space="preserve"> </w:t>
            </w:r>
            <w:r>
              <w:rPr>
                <w:rFonts w:ascii="Times New Roman" w:eastAsia="仿宋_GB2312" w:hAnsi="Times New Roman" w:cs="Times New Roman"/>
                <w:bCs/>
              </w:rPr>
              <w:t>随</w:t>
            </w:r>
            <w:proofErr w:type="gramStart"/>
            <w:r>
              <w:rPr>
                <w:rFonts w:ascii="Times New Roman" w:eastAsia="仿宋_GB2312" w:hAnsi="Times New Roman" w:cs="Times New Roman"/>
                <w:bCs/>
              </w:rPr>
              <w:t>堂考试</w:t>
            </w:r>
            <w:proofErr w:type="gramEnd"/>
          </w:p>
        </w:tc>
      </w:tr>
      <w:tr w:rsidR="00AB51C8" w14:paraId="386BC132" w14:textId="77777777">
        <w:trPr>
          <w:trHeight w:val="612"/>
        </w:trPr>
        <w:tc>
          <w:tcPr>
            <w:tcW w:w="392" w:type="dxa"/>
            <w:vAlign w:val="center"/>
          </w:tcPr>
          <w:p w14:paraId="36A590F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709" w:type="dxa"/>
            <w:vAlign w:val="center"/>
          </w:tcPr>
          <w:p w14:paraId="08B6DC6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高级计量</w:t>
            </w:r>
            <w:r>
              <w:rPr>
                <w:rFonts w:ascii="Times New Roman" w:eastAsia="仿宋_GB2312" w:hAnsi="Times New Roman" w:cs="Times New Roman"/>
                <w:bCs/>
              </w:rPr>
              <w:lastRenderedPageBreak/>
              <w:t>与数量经济学</w:t>
            </w:r>
          </w:p>
        </w:tc>
        <w:tc>
          <w:tcPr>
            <w:tcW w:w="708" w:type="dxa"/>
            <w:vAlign w:val="center"/>
          </w:tcPr>
          <w:p w14:paraId="6A32F7C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一级学科</w:t>
            </w:r>
            <w:r>
              <w:rPr>
                <w:rFonts w:ascii="Times New Roman" w:eastAsia="仿宋_GB2312" w:hAnsi="Times New Roman" w:cs="Times New Roman"/>
                <w:bCs/>
              </w:rPr>
              <w:lastRenderedPageBreak/>
              <w:t>核心课</w:t>
            </w:r>
          </w:p>
        </w:tc>
        <w:tc>
          <w:tcPr>
            <w:tcW w:w="709" w:type="dxa"/>
            <w:vAlign w:val="center"/>
          </w:tcPr>
          <w:p w14:paraId="405826E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4.0</w:t>
            </w:r>
          </w:p>
        </w:tc>
        <w:tc>
          <w:tcPr>
            <w:tcW w:w="738" w:type="dxa"/>
            <w:vAlign w:val="center"/>
          </w:tcPr>
          <w:p w14:paraId="10D9E3D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杨翠红等</w:t>
            </w:r>
          </w:p>
        </w:tc>
        <w:tc>
          <w:tcPr>
            <w:tcW w:w="1842" w:type="dxa"/>
            <w:vAlign w:val="center"/>
          </w:tcPr>
          <w:p w14:paraId="1207244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本课程为管理科学和经济学</w:t>
            </w:r>
            <w:r>
              <w:rPr>
                <w:rFonts w:ascii="Times New Roman" w:eastAsia="仿宋_GB2312" w:hAnsi="Times New Roman" w:cs="Times New Roman"/>
                <w:bCs/>
              </w:rPr>
              <w:lastRenderedPageBreak/>
              <w:t>中的一门实用性和方法性很强的基础课。将系统地介绍投入产出技术及其新发展</w:t>
            </w:r>
            <w:r>
              <w:rPr>
                <w:rFonts w:ascii="Times New Roman" w:eastAsia="仿宋_GB2312" w:hAnsi="Times New Roman" w:cs="Times New Roman"/>
                <w:bCs/>
              </w:rPr>
              <w:t>-</w:t>
            </w:r>
            <w:r>
              <w:rPr>
                <w:rFonts w:ascii="Times New Roman" w:eastAsia="仿宋_GB2312" w:hAnsi="Times New Roman" w:cs="Times New Roman"/>
                <w:bCs/>
              </w:rPr>
              <w:t>投入占用产出技术的基本原理、主要模型和方法，以及投入产出技术在我国国民经济各领域的应用。</w:t>
            </w:r>
          </w:p>
        </w:tc>
        <w:tc>
          <w:tcPr>
            <w:tcW w:w="709" w:type="dxa"/>
            <w:vAlign w:val="center"/>
          </w:tcPr>
          <w:p w14:paraId="3707517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中文及英</w:t>
            </w:r>
            <w:r>
              <w:rPr>
                <w:rFonts w:ascii="Times New Roman" w:eastAsia="仿宋_GB2312" w:hAnsi="Times New Roman" w:cs="Times New Roman"/>
                <w:bCs/>
              </w:rPr>
              <w:lastRenderedPageBreak/>
              <w:t>文</w:t>
            </w:r>
          </w:p>
        </w:tc>
        <w:tc>
          <w:tcPr>
            <w:tcW w:w="2977" w:type="dxa"/>
            <w:vAlign w:val="center"/>
          </w:tcPr>
          <w:p w14:paraId="2ECE343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第一章</w:t>
            </w:r>
            <w:r>
              <w:rPr>
                <w:rFonts w:ascii="Times New Roman" w:eastAsia="仿宋_GB2312" w:hAnsi="Times New Roman" w:cs="Times New Roman"/>
                <w:bCs/>
              </w:rPr>
              <w:t xml:space="preserve"> </w:t>
            </w:r>
            <w:r>
              <w:rPr>
                <w:rFonts w:ascii="Times New Roman" w:eastAsia="仿宋_GB2312" w:hAnsi="Times New Roman" w:cs="Times New Roman"/>
                <w:bCs/>
              </w:rPr>
              <w:t>计量经济学</w:t>
            </w:r>
          </w:p>
          <w:p w14:paraId="37B66CA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时间序列分析</w:t>
            </w:r>
          </w:p>
          <w:p w14:paraId="6C73763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w:t>
            </w:r>
            <w:r>
              <w:rPr>
                <w:rFonts w:ascii="Times New Roman" w:eastAsia="仿宋_GB2312" w:hAnsi="Times New Roman" w:cs="Times New Roman"/>
                <w:bCs/>
              </w:rPr>
              <w:t>1</w:t>
            </w:r>
            <w:r>
              <w:rPr>
                <w:rFonts w:ascii="Times New Roman" w:eastAsia="仿宋_GB2312" w:hAnsi="Times New Roman" w:cs="Times New Roman"/>
                <w:bCs/>
              </w:rPr>
              <w:t>节</w:t>
            </w:r>
            <w:r>
              <w:rPr>
                <w:rFonts w:ascii="Times New Roman" w:eastAsia="仿宋_GB2312" w:hAnsi="Times New Roman" w:cs="Times New Roman"/>
                <w:bCs/>
              </w:rPr>
              <w:t xml:space="preserve"> Basics of Time Series Analysis</w:t>
            </w:r>
          </w:p>
          <w:p w14:paraId="248A3E1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2</w:t>
            </w:r>
            <w:r>
              <w:rPr>
                <w:rFonts w:ascii="Times New Roman" w:eastAsia="仿宋_GB2312" w:hAnsi="Times New Roman" w:cs="Times New Roman"/>
                <w:bCs/>
              </w:rPr>
              <w:t>节</w:t>
            </w:r>
            <w:r>
              <w:rPr>
                <w:rFonts w:ascii="Times New Roman" w:eastAsia="仿宋_GB2312" w:hAnsi="Times New Roman" w:cs="Times New Roman"/>
                <w:bCs/>
              </w:rPr>
              <w:t xml:space="preserve"> Stationary Time-Series Models</w:t>
            </w:r>
          </w:p>
          <w:p w14:paraId="667D082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3</w:t>
            </w:r>
            <w:r>
              <w:rPr>
                <w:rFonts w:ascii="Times New Roman" w:eastAsia="仿宋_GB2312" w:hAnsi="Times New Roman" w:cs="Times New Roman"/>
                <w:bCs/>
              </w:rPr>
              <w:t>节</w:t>
            </w:r>
            <w:r>
              <w:rPr>
                <w:rFonts w:ascii="Times New Roman" w:eastAsia="仿宋_GB2312" w:hAnsi="Times New Roman" w:cs="Times New Roman"/>
                <w:bCs/>
              </w:rPr>
              <w:t xml:space="preserve"> Modeling Volatility</w:t>
            </w:r>
          </w:p>
          <w:p w14:paraId="65AE3CB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4</w:t>
            </w:r>
            <w:r>
              <w:rPr>
                <w:rFonts w:ascii="Times New Roman" w:eastAsia="仿宋_GB2312" w:hAnsi="Times New Roman" w:cs="Times New Roman"/>
                <w:bCs/>
              </w:rPr>
              <w:t>节</w:t>
            </w:r>
            <w:r>
              <w:rPr>
                <w:rFonts w:ascii="Times New Roman" w:eastAsia="仿宋_GB2312" w:hAnsi="Times New Roman" w:cs="Times New Roman"/>
                <w:bCs/>
              </w:rPr>
              <w:t xml:space="preserve"> Vector Autoregression (VAR) models</w:t>
            </w:r>
          </w:p>
          <w:p w14:paraId="685C516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5</w:t>
            </w:r>
            <w:r>
              <w:rPr>
                <w:rFonts w:ascii="Times New Roman" w:eastAsia="仿宋_GB2312" w:hAnsi="Times New Roman" w:cs="Times New Roman"/>
                <w:bCs/>
              </w:rPr>
              <w:t>节</w:t>
            </w:r>
            <w:r>
              <w:rPr>
                <w:rFonts w:ascii="Times New Roman" w:eastAsia="仿宋_GB2312" w:hAnsi="Times New Roman" w:cs="Times New Roman"/>
                <w:bCs/>
              </w:rPr>
              <w:t xml:space="preserve"> Non-Stationary Time-Series Models</w:t>
            </w:r>
          </w:p>
          <w:p w14:paraId="38ABF89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投入产出分析</w:t>
            </w:r>
          </w:p>
        </w:tc>
      </w:tr>
      <w:tr w:rsidR="00AB51C8" w14:paraId="2DDEFD28" w14:textId="77777777">
        <w:trPr>
          <w:trHeight w:val="612"/>
        </w:trPr>
        <w:tc>
          <w:tcPr>
            <w:tcW w:w="392" w:type="dxa"/>
            <w:vAlign w:val="center"/>
          </w:tcPr>
          <w:p w14:paraId="18DF71E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3</w:t>
            </w:r>
          </w:p>
        </w:tc>
        <w:tc>
          <w:tcPr>
            <w:tcW w:w="709" w:type="dxa"/>
            <w:vAlign w:val="center"/>
          </w:tcPr>
          <w:p w14:paraId="4F229E5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非参数统计</w:t>
            </w:r>
          </w:p>
        </w:tc>
        <w:tc>
          <w:tcPr>
            <w:tcW w:w="708" w:type="dxa"/>
            <w:vAlign w:val="center"/>
          </w:tcPr>
          <w:p w14:paraId="7E21322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w:t>
            </w:r>
            <w:proofErr w:type="gramStart"/>
            <w:r>
              <w:rPr>
                <w:rFonts w:ascii="Times New Roman" w:eastAsia="仿宋_GB2312" w:hAnsi="Times New Roman" w:cs="Times New Roman"/>
                <w:bCs/>
              </w:rPr>
              <w:t>普及课</w:t>
            </w:r>
            <w:proofErr w:type="gramEnd"/>
          </w:p>
        </w:tc>
        <w:tc>
          <w:tcPr>
            <w:tcW w:w="709" w:type="dxa"/>
            <w:vAlign w:val="center"/>
          </w:tcPr>
          <w:p w14:paraId="5A8D744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2.0</w:t>
            </w:r>
          </w:p>
        </w:tc>
        <w:tc>
          <w:tcPr>
            <w:tcW w:w="738" w:type="dxa"/>
            <w:vAlign w:val="center"/>
          </w:tcPr>
          <w:p w14:paraId="7FB3BD7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孙佳婧</w:t>
            </w:r>
          </w:p>
        </w:tc>
        <w:tc>
          <w:tcPr>
            <w:tcW w:w="1842" w:type="dxa"/>
            <w:vAlign w:val="center"/>
          </w:tcPr>
          <w:p w14:paraId="2D782BA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本课程为经济管理学科研究生的专业课程。近年来，非参数计量经济学已经成为计量经济学研究的重要方向。开设此课程的目的在于让学生掌握非参数计量经济学的基本思想，</w:t>
            </w:r>
            <w:proofErr w:type="gramStart"/>
            <w:r>
              <w:rPr>
                <w:rFonts w:ascii="Times New Roman" w:eastAsia="仿宋_GB2312" w:hAnsi="Times New Roman" w:cs="Times New Roman"/>
                <w:bCs/>
              </w:rPr>
              <w:t>了解非</w:t>
            </w:r>
            <w:proofErr w:type="gramEnd"/>
            <w:r>
              <w:rPr>
                <w:rFonts w:ascii="Times New Roman" w:eastAsia="仿宋_GB2312" w:hAnsi="Times New Roman" w:cs="Times New Roman"/>
                <w:bCs/>
              </w:rPr>
              <w:t>参数估计、检验的最新研究进展。</w:t>
            </w:r>
          </w:p>
        </w:tc>
        <w:tc>
          <w:tcPr>
            <w:tcW w:w="709" w:type="dxa"/>
            <w:vAlign w:val="center"/>
          </w:tcPr>
          <w:p w14:paraId="762EE90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中文及英文</w:t>
            </w:r>
          </w:p>
        </w:tc>
        <w:tc>
          <w:tcPr>
            <w:tcW w:w="2977" w:type="dxa"/>
            <w:vAlign w:val="center"/>
          </w:tcPr>
          <w:p w14:paraId="00AF739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非参数模型的简介</w:t>
            </w:r>
          </w:p>
          <w:p w14:paraId="65F20FA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1</w:t>
            </w:r>
            <w:r>
              <w:rPr>
                <w:rFonts w:ascii="Times New Roman" w:eastAsia="仿宋_GB2312" w:hAnsi="Times New Roman" w:cs="Times New Roman"/>
                <w:bCs/>
              </w:rPr>
              <w:t>节</w:t>
            </w:r>
            <w:r>
              <w:rPr>
                <w:rFonts w:ascii="Times New Roman" w:eastAsia="仿宋_GB2312" w:hAnsi="Times New Roman" w:cs="Times New Roman"/>
                <w:bCs/>
              </w:rPr>
              <w:t xml:space="preserve"> </w:t>
            </w:r>
            <w:r>
              <w:rPr>
                <w:rFonts w:ascii="Times New Roman" w:eastAsia="仿宋_GB2312" w:hAnsi="Times New Roman" w:cs="Times New Roman"/>
                <w:bCs/>
              </w:rPr>
              <w:t>核函数、带宽等基础概念</w:t>
            </w:r>
          </w:p>
          <w:p w14:paraId="124EF1B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w:t>
            </w:r>
            <w:r>
              <w:rPr>
                <w:rFonts w:ascii="Times New Roman" w:eastAsia="仿宋_GB2312" w:hAnsi="Times New Roman" w:cs="Times New Roman"/>
                <w:bCs/>
              </w:rPr>
              <w:t>2</w:t>
            </w:r>
            <w:r>
              <w:rPr>
                <w:rFonts w:ascii="Times New Roman" w:eastAsia="仿宋_GB2312" w:hAnsi="Times New Roman" w:cs="Times New Roman"/>
                <w:bCs/>
              </w:rPr>
              <w:t>节</w:t>
            </w:r>
            <w:r>
              <w:rPr>
                <w:rFonts w:ascii="Times New Roman" w:eastAsia="仿宋_GB2312" w:hAnsi="Times New Roman" w:cs="Times New Roman"/>
                <w:bCs/>
              </w:rPr>
              <w:t xml:space="preserve"> </w:t>
            </w:r>
            <w:r>
              <w:rPr>
                <w:rFonts w:ascii="Times New Roman" w:eastAsia="仿宋_GB2312" w:hAnsi="Times New Roman" w:cs="Times New Roman"/>
                <w:bCs/>
              </w:rPr>
              <w:t>非参数估计的基本思想和应用价值</w:t>
            </w:r>
          </w:p>
          <w:p w14:paraId="799C482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非参数密度估计</w:t>
            </w:r>
            <w:r>
              <w:rPr>
                <w:rFonts w:ascii="Times New Roman" w:eastAsia="仿宋_GB2312" w:hAnsi="Times New Roman" w:cs="Times New Roman"/>
                <w:bCs/>
              </w:rPr>
              <w:t xml:space="preserve"> </w:t>
            </w:r>
          </w:p>
          <w:p w14:paraId="7B8818D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非参数回归</w:t>
            </w:r>
          </w:p>
          <w:p w14:paraId="2F2DDDE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非参数样条估计</w:t>
            </w:r>
            <w:r>
              <w:rPr>
                <w:rFonts w:ascii="Times New Roman" w:eastAsia="仿宋_GB2312" w:hAnsi="Times New Roman" w:cs="Times New Roman"/>
                <w:bCs/>
              </w:rPr>
              <w:t xml:space="preserve"> 8.0</w:t>
            </w:r>
            <w:r>
              <w:rPr>
                <w:rFonts w:ascii="Times New Roman" w:eastAsia="仿宋_GB2312" w:hAnsi="Times New Roman" w:cs="Times New Roman"/>
                <w:bCs/>
              </w:rPr>
              <w:t>学时</w:t>
            </w:r>
          </w:p>
          <w:p w14:paraId="0DA5B84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非参数谱分析方法</w:t>
            </w:r>
          </w:p>
          <w:p w14:paraId="299AACA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考试</w:t>
            </w:r>
          </w:p>
        </w:tc>
      </w:tr>
      <w:tr w:rsidR="00AB51C8" w14:paraId="084B67D4" w14:textId="77777777">
        <w:trPr>
          <w:trHeight w:val="612"/>
        </w:trPr>
        <w:tc>
          <w:tcPr>
            <w:tcW w:w="392" w:type="dxa"/>
            <w:vAlign w:val="center"/>
          </w:tcPr>
          <w:p w14:paraId="5EA2A39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4</w:t>
            </w:r>
          </w:p>
        </w:tc>
        <w:tc>
          <w:tcPr>
            <w:tcW w:w="709" w:type="dxa"/>
            <w:vAlign w:val="center"/>
          </w:tcPr>
          <w:p w14:paraId="206BFE8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经济学原</w:t>
            </w:r>
            <w:r>
              <w:rPr>
                <w:rFonts w:ascii="Times New Roman" w:eastAsia="仿宋_GB2312" w:hAnsi="Times New Roman" w:cs="Times New Roman"/>
                <w:bCs/>
              </w:rPr>
              <w:lastRenderedPageBreak/>
              <w:t>理</w:t>
            </w:r>
          </w:p>
        </w:tc>
        <w:tc>
          <w:tcPr>
            <w:tcW w:w="708" w:type="dxa"/>
            <w:vAlign w:val="center"/>
          </w:tcPr>
          <w:p w14:paraId="6A104CD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专业</w:t>
            </w:r>
            <w:proofErr w:type="gramStart"/>
            <w:r>
              <w:rPr>
                <w:rFonts w:ascii="Times New Roman" w:eastAsia="仿宋_GB2312" w:hAnsi="Times New Roman" w:cs="Times New Roman"/>
                <w:bCs/>
              </w:rPr>
              <w:t>普及</w:t>
            </w:r>
            <w:r>
              <w:rPr>
                <w:rFonts w:ascii="Times New Roman" w:eastAsia="仿宋_GB2312" w:hAnsi="Times New Roman" w:cs="Times New Roman"/>
                <w:bCs/>
              </w:rPr>
              <w:lastRenderedPageBreak/>
              <w:t>课</w:t>
            </w:r>
            <w:proofErr w:type="gramEnd"/>
          </w:p>
        </w:tc>
        <w:tc>
          <w:tcPr>
            <w:tcW w:w="709" w:type="dxa"/>
            <w:vAlign w:val="center"/>
          </w:tcPr>
          <w:p w14:paraId="0E61D9F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1.0</w:t>
            </w:r>
          </w:p>
        </w:tc>
        <w:tc>
          <w:tcPr>
            <w:tcW w:w="738" w:type="dxa"/>
            <w:vAlign w:val="center"/>
          </w:tcPr>
          <w:p w14:paraId="5AF368C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许健</w:t>
            </w:r>
          </w:p>
        </w:tc>
        <w:tc>
          <w:tcPr>
            <w:tcW w:w="1842" w:type="dxa"/>
            <w:vAlign w:val="center"/>
          </w:tcPr>
          <w:p w14:paraId="4706FC1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．理解经济学的基本概念；</w:t>
            </w:r>
          </w:p>
          <w:p w14:paraId="72021D3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2</w:t>
            </w:r>
            <w:r>
              <w:rPr>
                <w:rFonts w:ascii="Times New Roman" w:eastAsia="仿宋_GB2312" w:hAnsi="Times New Roman" w:cs="Times New Roman"/>
                <w:bCs/>
              </w:rPr>
              <w:t>．掌握经济学的分析方法；</w:t>
            </w:r>
          </w:p>
          <w:p w14:paraId="562730B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3</w:t>
            </w:r>
            <w:r>
              <w:rPr>
                <w:rFonts w:ascii="Times New Roman" w:eastAsia="仿宋_GB2312" w:hAnsi="Times New Roman" w:cs="Times New Roman"/>
                <w:bCs/>
              </w:rPr>
              <w:t>．通过案例分析培养解决实际管理问题的能力；</w:t>
            </w:r>
          </w:p>
          <w:p w14:paraId="38852B8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4</w:t>
            </w:r>
            <w:r>
              <w:rPr>
                <w:rFonts w:ascii="Times New Roman" w:eastAsia="仿宋_GB2312" w:hAnsi="Times New Roman" w:cs="Times New Roman"/>
                <w:bCs/>
              </w:rPr>
              <w:t>．通过整个课程的学习培养经济学的思维模式。</w:t>
            </w:r>
          </w:p>
        </w:tc>
        <w:tc>
          <w:tcPr>
            <w:tcW w:w="709" w:type="dxa"/>
            <w:vAlign w:val="center"/>
          </w:tcPr>
          <w:p w14:paraId="67E2EF3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中文及英</w:t>
            </w:r>
            <w:r>
              <w:rPr>
                <w:rFonts w:ascii="Times New Roman" w:eastAsia="仿宋_GB2312" w:hAnsi="Times New Roman" w:cs="Times New Roman"/>
                <w:bCs/>
              </w:rPr>
              <w:lastRenderedPageBreak/>
              <w:t>文</w:t>
            </w:r>
          </w:p>
        </w:tc>
        <w:tc>
          <w:tcPr>
            <w:tcW w:w="2977" w:type="dxa"/>
            <w:vAlign w:val="center"/>
          </w:tcPr>
          <w:p w14:paraId="07FF2A4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第一章</w:t>
            </w:r>
            <w:r>
              <w:rPr>
                <w:rFonts w:ascii="Times New Roman" w:eastAsia="仿宋_GB2312" w:hAnsi="Times New Roman" w:cs="Times New Roman"/>
                <w:bCs/>
              </w:rPr>
              <w:t xml:space="preserve"> </w:t>
            </w:r>
            <w:r>
              <w:rPr>
                <w:rFonts w:ascii="Times New Roman" w:eastAsia="仿宋_GB2312" w:hAnsi="Times New Roman" w:cs="Times New Roman"/>
                <w:bCs/>
              </w:rPr>
              <w:t>从市场机制到匹配理论</w:t>
            </w:r>
          </w:p>
          <w:p w14:paraId="6304D85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第二章</w:t>
            </w:r>
            <w:r>
              <w:rPr>
                <w:rFonts w:ascii="Times New Roman" w:eastAsia="仿宋_GB2312" w:hAnsi="Times New Roman" w:cs="Times New Roman"/>
                <w:bCs/>
              </w:rPr>
              <w:t xml:space="preserve"> </w:t>
            </w:r>
            <w:r>
              <w:rPr>
                <w:rFonts w:ascii="Times New Roman" w:eastAsia="仿宋_GB2312" w:hAnsi="Times New Roman" w:cs="Times New Roman"/>
                <w:bCs/>
              </w:rPr>
              <w:t>信息不对称与机制设计</w:t>
            </w:r>
          </w:p>
          <w:p w14:paraId="4BEBEAC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有限资源最优配置理论</w:t>
            </w:r>
          </w:p>
          <w:p w14:paraId="3499B89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宏观经济学概要</w:t>
            </w:r>
          </w:p>
        </w:tc>
      </w:tr>
      <w:tr w:rsidR="00AB51C8" w14:paraId="250C25A3" w14:textId="77777777">
        <w:trPr>
          <w:trHeight w:val="612"/>
        </w:trPr>
        <w:tc>
          <w:tcPr>
            <w:tcW w:w="392" w:type="dxa"/>
            <w:vAlign w:val="center"/>
          </w:tcPr>
          <w:p w14:paraId="4FDAE3D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5</w:t>
            </w:r>
          </w:p>
        </w:tc>
        <w:tc>
          <w:tcPr>
            <w:tcW w:w="709" w:type="dxa"/>
            <w:vAlign w:val="center"/>
          </w:tcPr>
          <w:p w14:paraId="1B6489C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随机过程</w:t>
            </w:r>
          </w:p>
        </w:tc>
        <w:tc>
          <w:tcPr>
            <w:tcW w:w="708" w:type="dxa"/>
            <w:vAlign w:val="center"/>
          </w:tcPr>
          <w:p w14:paraId="7B07424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一级学科核心课</w:t>
            </w:r>
          </w:p>
        </w:tc>
        <w:tc>
          <w:tcPr>
            <w:tcW w:w="709" w:type="dxa"/>
            <w:vAlign w:val="center"/>
          </w:tcPr>
          <w:p w14:paraId="6085AE1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3.0</w:t>
            </w:r>
          </w:p>
        </w:tc>
        <w:tc>
          <w:tcPr>
            <w:tcW w:w="738" w:type="dxa"/>
            <w:vAlign w:val="center"/>
          </w:tcPr>
          <w:p w14:paraId="0373EF7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王曙明等</w:t>
            </w:r>
          </w:p>
        </w:tc>
        <w:tc>
          <w:tcPr>
            <w:tcW w:w="1842" w:type="dxa"/>
            <w:vAlign w:val="center"/>
          </w:tcPr>
          <w:p w14:paraId="11B7470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本课程主要介绍动态决策系统建模时常用的随机过程模型及其原理，同时介绍基于随机的一些前沿动态优化技术如强化学习等。学生可以掌握随机过程建模的核心思想和原理，具备动态系统建模、分析及优化的基本能力。</w:t>
            </w:r>
          </w:p>
        </w:tc>
        <w:tc>
          <w:tcPr>
            <w:tcW w:w="709" w:type="dxa"/>
            <w:vAlign w:val="center"/>
          </w:tcPr>
          <w:p w14:paraId="3F2DCA3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英文</w:t>
            </w:r>
          </w:p>
        </w:tc>
        <w:tc>
          <w:tcPr>
            <w:tcW w:w="2977" w:type="dxa"/>
            <w:vAlign w:val="center"/>
          </w:tcPr>
          <w:p w14:paraId="5AB3698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1: Course Introduction and Foundation of Probability</w:t>
            </w:r>
          </w:p>
          <w:p w14:paraId="2FE57B0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2: Conditional Probability &amp; Conditional Expectation</w:t>
            </w:r>
          </w:p>
          <w:p w14:paraId="11AD7A7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3: Discrete-Time Markov Chains</w:t>
            </w:r>
          </w:p>
          <w:p w14:paraId="4740B0B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4: Exponential Distribution and Poisson Process</w:t>
            </w:r>
          </w:p>
          <w:p w14:paraId="17C7B21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5: Continuous-Time Markov Chains</w:t>
            </w:r>
          </w:p>
          <w:p w14:paraId="63073DB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6: Renewal Theory with Applications</w:t>
            </w:r>
          </w:p>
          <w:p w14:paraId="27D7AC3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7: Markov decision process</w:t>
            </w:r>
          </w:p>
          <w:p w14:paraId="17F7655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8: Finite-horizon MDP</w:t>
            </w:r>
          </w:p>
          <w:p w14:paraId="08F6C75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9: Infinite-horizon MDP</w:t>
            </w:r>
          </w:p>
          <w:p w14:paraId="7E4B2D0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Lecture 10: ADP and RL</w:t>
            </w:r>
          </w:p>
        </w:tc>
      </w:tr>
      <w:tr w:rsidR="00AB51C8" w14:paraId="7A509C79" w14:textId="77777777">
        <w:trPr>
          <w:trHeight w:val="612"/>
        </w:trPr>
        <w:tc>
          <w:tcPr>
            <w:tcW w:w="392" w:type="dxa"/>
            <w:vAlign w:val="center"/>
          </w:tcPr>
          <w:p w14:paraId="5E0CB6D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6</w:t>
            </w:r>
          </w:p>
        </w:tc>
        <w:tc>
          <w:tcPr>
            <w:tcW w:w="709" w:type="dxa"/>
            <w:vAlign w:val="center"/>
          </w:tcPr>
          <w:p w14:paraId="28CFC4D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能源经济与绿色发</w:t>
            </w:r>
            <w:r>
              <w:rPr>
                <w:rFonts w:ascii="Times New Roman" w:eastAsia="仿宋_GB2312" w:hAnsi="Times New Roman" w:cs="Times New Roman"/>
                <w:bCs/>
              </w:rPr>
              <w:lastRenderedPageBreak/>
              <w:t>展</w:t>
            </w:r>
          </w:p>
        </w:tc>
        <w:tc>
          <w:tcPr>
            <w:tcW w:w="708" w:type="dxa"/>
            <w:vAlign w:val="center"/>
          </w:tcPr>
          <w:p w14:paraId="45BEC79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选修课</w:t>
            </w:r>
          </w:p>
        </w:tc>
        <w:tc>
          <w:tcPr>
            <w:tcW w:w="709" w:type="dxa"/>
            <w:vAlign w:val="center"/>
          </w:tcPr>
          <w:p w14:paraId="42FCC0A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1.0</w:t>
            </w:r>
          </w:p>
        </w:tc>
        <w:tc>
          <w:tcPr>
            <w:tcW w:w="738" w:type="dxa"/>
            <w:vAlign w:val="center"/>
          </w:tcPr>
          <w:p w14:paraId="7576BE3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李娜</w:t>
            </w:r>
          </w:p>
        </w:tc>
        <w:tc>
          <w:tcPr>
            <w:tcW w:w="1842" w:type="dxa"/>
            <w:vAlign w:val="center"/>
          </w:tcPr>
          <w:p w14:paraId="676C737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通过本课程的学习，使学生了解能源经济和绿色发展的基</w:t>
            </w:r>
            <w:r>
              <w:rPr>
                <w:rFonts w:ascii="Times New Roman" w:eastAsia="仿宋_GB2312" w:hAnsi="Times New Roman" w:cs="Times New Roman"/>
                <w:bCs/>
              </w:rPr>
              <w:lastRenderedPageBreak/>
              <w:t>本知识、规律、理论和分析方法。</w:t>
            </w:r>
          </w:p>
        </w:tc>
        <w:tc>
          <w:tcPr>
            <w:tcW w:w="709" w:type="dxa"/>
            <w:vAlign w:val="center"/>
          </w:tcPr>
          <w:p w14:paraId="46965F4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11D2898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能源经济概述</w:t>
            </w:r>
          </w:p>
          <w:p w14:paraId="54F2CC3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能源需求与供给</w:t>
            </w:r>
            <w:r>
              <w:rPr>
                <w:rFonts w:ascii="Times New Roman" w:eastAsia="仿宋_GB2312" w:hAnsi="Times New Roman" w:cs="Times New Roman"/>
                <w:bCs/>
              </w:rPr>
              <w:t xml:space="preserve"> </w:t>
            </w:r>
          </w:p>
          <w:p w14:paraId="01925C5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能源市场</w:t>
            </w:r>
          </w:p>
          <w:p w14:paraId="66EC313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能源安全</w:t>
            </w:r>
          </w:p>
          <w:p w14:paraId="0E29081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第五章</w:t>
            </w:r>
            <w:r>
              <w:rPr>
                <w:rFonts w:ascii="Times New Roman" w:eastAsia="仿宋_GB2312" w:hAnsi="Times New Roman" w:cs="Times New Roman"/>
                <w:bCs/>
              </w:rPr>
              <w:t xml:space="preserve"> </w:t>
            </w:r>
            <w:r>
              <w:rPr>
                <w:rFonts w:ascii="Times New Roman" w:eastAsia="仿宋_GB2312" w:hAnsi="Times New Roman" w:cs="Times New Roman"/>
                <w:bCs/>
              </w:rPr>
              <w:t>资源环境成本与绿色发展</w:t>
            </w:r>
          </w:p>
          <w:p w14:paraId="57290C8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温室气体减排与碳交易</w:t>
            </w:r>
          </w:p>
          <w:p w14:paraId="5CD1DE7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面向碳中和的中国绿色转型研究</w:t>
            </w:r>
          </w:p>
        </w:tc>
      </w:tr>
      <w:tr w:rsidR="00AB51C8" w14:paraId="0E703980" w14:textId="77777777">
        <w:trPr>
          <w:trHeight w:val="612"/>
        </w:trPr>
        <w:tc>
          <w:tcPr>
            <w:tcW w:w="392" w:type="dxa"/>
            <w:vAlign w:val="center"/>
          </w:tcPr>
          <w:p w14:paraId="018FC9F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7</w:t>
            </w:r>
          </w:p>
        </w:tc>
        <w:tc>
          <w:tcPr>
            <w:tcW w:w="709" w:type="dxa"/>
            <w:vAlign w:val="center"/>
          </w:tcPr>
          <w:p w14:paraId="0443D3E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环境与资源经济学</w:t>
            </w:r>
          </w:p>
        </w:tc>
        <w:tc>
          <w:tcPr>
            <w:tcW w:w="708" w:type="dxa"/>
            <w:vAlign w:val="center"/>
          </w:tcPr>
          <w:p w14:paraId="3924661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w:t>
            </w:r>
            <w:proofErr w:type="gramStart"/>
            <w:r>
              <w:rPr>
                <w:rFonts w:ascii="Times New Roman" w:eastAsia="仿宋_GB2312" w:hAnsi="Times New Roman" w:cs="Times New Roman"/>
                <w:bCs/>
              </w:rPr>
              <w:t>普及课</w:t>
            </w:r>
            <w:proofErr w:type="gramEnd"/>
          </w:p>
        </w:tc>
        <w:tc>
          <w:tcPr>
            <w:tcW w:w="709" w:type="dxa"/>
            <w:vAlign w:val="center"/>
          </w:tcPr>
          <w:p w14:paraId="446C346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2.0</w:t>
            </w:r>
          </w:p>
        </w:tc>
        <w:tc>
          <w:tcPr>
            <w:tcW w:w="738" w:type="dxa"/>
            <w:vAlign w:val="center"/>
          </w:tcPr>
          <w:p w14:paraId="06245EE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段宏波</w:t>
            </w:r>
          </w:p>
        </w:tc>
        <w:tc>
          <w:tcPr>
            <w:tcW w:w="1842" w:type="dxa"/>
            <w:vAlign w:val="center"/>
          </w:tcPr>
          <w:p w14:paraId="3C591F2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 xml:space="preserve">1. </w:t>
            </w:r>
            <w:r>
              <w:rPr>
                <w:rFonts w:ascii="Times New Roman" w:eastAsia="仿宋_GB2312" w:hAnsi="Times New Roman" w:cs="Times New Roman"/>
                <w:bCs/>
              </w:rPr>
              <w:t>了解环境问题产生的根源及其与自然资源开发利用的关系</w:t>
            </w:r>
          </w:p>
          <w:p w14:paraId="420C07B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 xml:space="preserve">2. </w:t>
            </w:r>
            <w:r>
              <w:rPr>
                <w:rFonts w:ascii="Times New Roman" w:eastAsia="仿宋_GB2312" w:hAnsi="Times New Roman" w:cs="Times New Roman"/>
                <w:bCs/>
              </w:rPr>
              <w:t>学习环境污染控制的基本思想和理论</w:t>
            </w:r>
          </w:p>
          <w:p w14:paraId="629098F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 xml:space="preserve">3. </w:t>
            </w:r>
            <w:r>
              <w:rPr>
                <w:rFonts w:ascii="Times New Roman" w:eastAsia="仿宋_GB2312" w:hAnsi="Times New Roman" w:cs="Times New Roman"/>
                <w:bCs/>
              </w:rPr>
              <w:t>掌握自然资源有效分配和利用的研究方法</w:t>
            </w:r>
          </w:p>
          <w:p w14:paraId="604969B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4.</w:t>
            </w:r>
            <w:r>
              <w:rPr>
                <w:rFonts w:ascii="Times New Roman" w:eastAsia="仿宋_GB2312" w:hAnsi="Times New Roman" w:cs="Times New Roman"/>
                <w:bCs/>
              </w:rPr>
              <w:t>将环境与资源经济学的方法论应用于现实环境和资源配置问题研究</w:t>
            </w:r>
          </w:p>
        </w:tc>
        <w:tc>
          <w:tcPr>
            <w:tcW w:w="709" w:type="dxa"/>
            <w:vAlign w:val="center"/>
          </w:tcPr>
          <w:p w14:paraId="7B69627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w:t>
            </w:r>
          </w:p>
        </w:tc>
        <w:tc>
          <w:tcPr>
            <w:tcW w:w="2977" w:type="dxa"/>
            <w:vAlign w:val="center"/>
          </w:tcPr>
          <w:p w14:paraId="14F3C9B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绪论</w:t>
            </w:r>
          </w:p>
          <w:p w14:paraId="678E8B2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环境问题中的产权与外部性</w:t>
            </w:r>
          </w:p>
          <w:p w14:paraId="627D6C4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环境价值评估</w:t>
            </w:r>
            <w:r>
              <w:rPr>
                <w:rFonts w:ascii="Times New Roman" w:eastAsia="仿宋_GB2312" w:hAnsi="Times New Roman" w:cs="Times New Roman"/>
                <w:bCs/>
              </w:rPr>
              <w:t xml:space="preserve"> </w:t>
            </w:r>
          </w:p>
          <w:p w14:paraId="00AFA51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动态效率与可持续发展</w:t>
            </w:r>
          </w:p>
          <w:p w14:paraId="6D5DB0F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人口与经济、环境</w:t>
            </w:r>
          </w:p>
          <w:p w14:paraId="3E5A910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可耗竭资源与可再生资源</w:t>
            </w:r>
          </w:p>
          <w:p w14:paraId="337A9FD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可耗竭能源及其与可再生能源的替代</w:t>
            </w:r>
          </w:p>
          <w:p w14:paraId="025212C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污染控制经济学</w:t>
            </w:r>
            <w:r>
              <w:rPr>
                <w:rFonts w:ascii="Times New Roman" w:eastAsia="仿宋_GB2312" w:hAnsi="Times New Roman" w:cs="Times New Roman"/>
                <w:bCs/>
              </w:rPr>
              <w:t xml:space="preserve"> </w:t>
            </w:r>
          </w:p>
          <w:p w14:paraId="21A848A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固定与移动源空气污染</w:t>
            </w:r>
          </w:p>
          <w:p w14:paraId="4FF8AE2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区域与全球性大气污染</w:t>
            </w:r>
          </w:p>
          <w:p w14:paraId="123ECDF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第十一章</w:t>
            </w:r>
            <w:r>
              <w:rPr>
                <w:rFonts w:ascii="Times New Roman" w:eastAsia="仿宋_GB2312" w:hAnsi="Times New Roman" w:cs="Times New Roman"/>
                <w:bCs/>
              </w:rPr>
              <w:t xml:space="preserve"> </w:t>
            </w:r>
            <w:r>
              <w:rPr>
                <w:rFonts w:ascii="Times New Roman" w:eastAsia="仿宋_GB2312" w:hAnsi="Times New Roman" w:cs="Times New Roman"/>
                <w:bCs/>
              </w:rPr>
              <w:t>环境公正与可持续发展</w:t>
            </w:r>
          </w:p>
        </w:tc>
      </w:tr>
      <w:tr w:rsidR="00AB51C8" w14:paraId="147A61D3" w14:textId="77777777">
        <w:trPr>
          <w:trHeight w:val="612"/>
        </w:trPr>
        <w:tc>
          <w:tcPr>
            <w:tcW w:w="392" w:type="dxa"/>
            <w:vAlign w:val="center"/>
          </w:tcPr>
          <w:p w14:paraId="025AA2E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8</w:t>
            </w:r>
          </w:p>
        </w:tc>
        <w:tc>
          <w:tcPr>
            <w:tcW w:w="709" w:type="dxa"/>
            <w:vAlign w:val="center"/>
          </w:tcPr>
          <w:p w14:paraId="6A27D1E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区域可持续发展理论与实践</w:t>
            </w:r>
          </w:p>
        </w:tc>
        <w:tc>
          <w:tcPr>
            <w:tcW w:w="708" w:type="dxa"/>
            <w:vAlign w:val="center"/>
          </w:tcPr>
          <w:p w14:paraId="14AD6DC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一级学科核心课</w:t>
            </w:r>
          </w:p>
        </w:tc>
        <w:tc>
          <w:tcPr>
            <w:tcW w:w="709" w:type="dxa"/>
            <w:vAlign w:val="center"/>
          </w:tcPr>
          <w:p w14:paraId="5C5965B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3.0</w:t>
            </w:r>
          </w:p>
        </w:tc>
        <w:tc>
          <w:tcPr>
            <w:tcW w:w="738" w:type="dxa"/>
            <w:vAlign w:val="center"/>
          </w:tcPr>
          <w:p w14:paraId="6CA062C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刘毅等</w:t>
            </w:r>
          </w:p>
        </w:tc>
        <w:tc>
          <w:tcPr>
            <w:tcW w:w="1842" w:type="dxa"/>
            <w:vAlign w:val="center"/>
          </w:tcPr>
          <w:p w14:paraId="5FF9DD0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课程在系统介绍区域可持续发展理论基本框架的同时，结合影响我国当代区域可持续</w:t>
            </w:r>
            <w:r>
              <w:rPr>
                <w:rFonts w:ascii="Times New Roman" w:eastAsia="仿宋_GB2312" w:hAnsi="Times New Roman" w:cs="Times New Roman"/>
                <w:bCs/>
              </w:rPr>
              <w:lastRenderedPageBreak/>
              <w:t>发展的重大理论问题和实践活动，使学生在了解和掌握区域可持续发展基本理论基础上，初步形成分析中国区域可持续发展实际问题的能力。</w:t>
            </w:r>
          </w:p>
        </w:tc>
        <w:tc>
          <w:tcPr>
            <w:tcW w:w="709" w:type="dxa"/>
            <w:vAlign w:val="center"/>
          </w:tcPr>
          <w:p w14:paraId="0FA06D7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189462F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导论</w:t>
            </w:r>
          </w:p>
          <w:p w14:paraId="0FA59DC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区域可持续发展基本理论</w:t>
            </w:r>
          </w:p>
          <w:p w14:paraId="5FA2EBC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世界可持续发展的总体态势与国别比较</w:t>
            </w:r>
            <w:r>
              <w:rPr>
                <w:rFonts w:ascii="Times New Roman" w:eastAsia="仿宋_GB2312" w:hAnsi="Times New Roman" w:cs="Times New Roman"/>
                <w:bCs/>
              </w:rPr>
              <w:t xml:space="preserve"> </w:t>
            </w:r>
          </w:p>
          <w:p w14:paraId="083B2CC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中国区域可持续发</w:t>
            </w:r>
            <w:r>
              <w:rPr>
                <w:rFonts w:ascii="Times New Roman" w:eastAsia="仿宋_GB2312" w:hAnsi="Times New Roman" w:cs="Times New Roman"/>
                <w:bCs/>
              </w:rPr>
              <w:lastRenderedPageBreak/>
              <w:t>展的基本态势与主要问题</w:t>
            </w:r>
          </w:p>
          <w:p w14:paraId="613068D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可持续发展的要素体系</w:t>
            </w:r>
          </w:p>
          <w:p w14:paraId="1933B91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区域可持续发展评价指标体系</w:t>
            </w:r>
          </w:p>
          <w:p w14:paraId="7050297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区域可持续发展评价方法及应用</w:t>
            </w:r>
          </w:p>
          <w:p w14:paraId="4E53244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资源环境承载力评价理论与方法</w:t>
            </w:r>
          </w:p>
          <w:p w14:paraId="66A3893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区域差异与区域可持续发展</w:t>
            </w:r>
          </w:p>
          <w:p w14:paraId="2AD4D40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能源资源开发与区域可持续发展</w:t>
            </w:r>
          </w:p>
          <w:p w14:paraId="41D62B5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第十一章</w:t>
            </w:r>
            <w:r>
              <w:rPr>
                <w:rFonts w:ascii="Times New Roman" w:eastAsia="仿宋_GB2312" w:hAnsi="Times New Roman" w:cs="Times New Roman"/>
                <w:bCs/>
              </w:rPr>
              <w:t xml:space="preserve"> </w:t>
            </w:r>
            <w:r>
              <w:rPr>
                <w:rFonts w:ascii="Times New Roman" w:eastAsia="仿宋_GB2312" w:hAnsi="Times New Roman" w:cs="Times New Roman"/>
                <w:bCs/>
              </w:rPr>
              <w:t>工业化与区域可持续发展</w:t>
            </w:r>
          </w:p>
          <w:p w14:paraId="50488D0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第十二章</w:t>
            </w:r>
            <w:r>
              <w:rPr>
                <w:rFonts w:ascii="Times New Roman" w:eastAsia="仿宋_GB2312" w:hAnsi="Times New Roman" w:cs="Times New Roman"/>
                <w:bCs/>
              </w:rPr>
              <w:t xml:space="preserve"> </w:t>
            </w:r>
            <w:r>
              <w:rPr>
                <w:rFonts w:ascii="Times New Roman" w:eastAsia="仿宋_GB2312" w:hAnsi="Times New Roman" w:cs="Times New Roman"/>
                <w:bCs/>
              </w:rPr>
              <w:t>经济全球化与区域可持续发展</w:t>
            </w:r>
          </w:p>
          <w:p w14:paraId="0A5828A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第十三章</w:t>
            </w:r>
            <w:r>
              <w:rPr>
                <w:rFonts w:ascii="Times New Roman" w:eastAsia="仿宋_GB2312" w:hAnsi="Times New Roman" w:cs="Times New Roman"/>
                <w:bCs/>
              </w:rPr>
              <w:t xml:space="preserve"> </w:t>
            </w:r>
            <w:r>
              <w:rPr>
                <w:rFonts w:ascii="Times New Roman" w:eastAsia="仿宋_GB2312" w:hAnsi="Times New Roman" w:cs="Times New Roman"/>
                <w:bCs/>
              </w:rPr>
              <w:t>城镇化与区域可持续发展</w:t>
            </w:r>
          </w:p>
          <w:p w14:paraId="731B7A7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第十四章</w:t>
            </w:r>
            <w:r>
              <w:rPr>
                <w:rFonts w:ascii="Times New Roman" w:eastAsia="仿宋_GB2312" w:hAnsi="Times New Roman" w:cs="Times New Roman"/>
                <w:bCs/>
              </w:rPr>
              <w:t xml:space="preserve"> </w:t>
            </w:r>
            <w:r>
              <w:rPr>
                <w:rFonts w:ascii="Times New Roman" w:eastAsia="仿宋_GB2312" w:hAnsi="Times New Roman" w:cs="Times New Roman"/>
                <w:bCs/>
              </w:rPr>
              <w:t>区域治理与可持续发展</w:t>
            </w:r>
          </w:p>
          <w:p w14:paraId="0035CFC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第十五章</w:t>
            </w:r>
            <w:r>
              <w:rPr>
                <w:rFonts w:ascii="Times New Roman" w:eastAsia="仿宋_GB2312" w:hAnsi="Times New Roman" w:cs="Times New Roman"/>
                <w:bCs/>
              </w:rPr>
              <w:t xml:space="preserve"> </w:t>
            </w:r>
            <w:r>
              <w:rPr>
                <w:rFonts w:ascii="Times New Roman" w:eastAsia="仿宋_GB2312" w:hAnsi="Times New Roman" w:cs="Times New Roman"/>
                <w:bCs/>
              </w:rPr>
              <w:t>生态文明与可持续发展</w:t>
            </w:r>
          </w:p>
          <w:p w14:paraId="2B70766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w:t>
            </w:r>
          </w:p>
        </w:tc>
      </w:tr>
      <w:tr w:rsidR="00AB51C8" w14:paraId="00248774" w14:textId="77777777">
        <w:trPr>
          <w:trHeight w:val="612"/>
        </w:trPr>
        <w:tc>
          <w:tcPr>
            <w:tcW w:w="392" w:type="dxa"/>
            <w:vAlign w:val="center"/>
          </w:tcPr>
          <w:p w14:paraId="3607A3CF"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9</w:t>
            </w:r>
          </w:p>
        </w:tc>
        <w:tc>
          <w:tcPr>
            <w:tcW w:w="709" w:type="dxa"/>
            <w:vAlign w:val="center"/>
          </w:tcPr>
          <w:p w14:paraId="5E2412F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空间分析</w:t>
            </w:r>
          </w:p>
        </w:tc>
        <w:tc>
          <w:tcPr>
            <w:tcW w:w="708" w:type="dxa"/>
            <w:vAlign w:val="center"/>
          </w:tcPr>
          <w:p w14:paraId="28F8749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专业核心课</w:t>
            </w:r>
          </w:p>
        </w:tc>
        <w:tc>
          <w:tcPr>
            <w:tcW w:w="709" w:type="dxa"/>
            <w:vAlign w:val="center"/>
          </w:tcPr>
          <w:p w14:paraId="5E9E473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4.0</w:t>
            </w:r>
          </w:p>
        </w:tc>
        <w:tc>
          <w:tcPr>
            <w:tcW w:w="738" w:type="dxa"/>
            <w:vAlign w:val="center"/>
          </w:tcPr>
          <w:p w14:paraId="791EA17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裴韬等</w:t>
            </w:r>
          </w:p>
        </w:tc>
        <w:tc>
          <w:tcPr>
            <w:tcW w:w="1842" w:type="dxa"/>
            <w:vAlign w:val="center"/>
          </w:tcPr>
          <w:p w14:paraId="2725D4B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课程主要讲授地理信息系统空间分析方法基本原理以及应用；通过教学要求学生掌握本课程中所涉</w:t>
            </w:r>
            <w:r>
              <w:rPr>
                <w:rFonts w:ascii="Times New Roman" w:eastAsia="仿宋_GB2312" w:hAnsi="Times New Roman" w:cs="Times New Roman"/>
                <w:bCs/>
              </w:rPr>
              <w:lastRenderedPageBreak/>
              <w:t>及的空间分析方法基本原理以及应用技能；了解目前国内外有关空间分析方法研究现状。</w:t>
            </w:r>
          </w:p>
        </w:tc>
        <w:tc>
          <w:tcPr>
            <w:tcW w:w="709" w:type="dxa"/>
            <w:vAlign w:val="center"/>
          </w:tcPr>
          <w:p w14:paraId="715EFD3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642648A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地理信息系统与空间分析的基本概念</w:t>
            </w:r>
          </w:p>
          <w:p w14:paraId="2BBD345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空间分析简介与基础统计知识</w:t>
            </w:r>
          </w:p>
          <w:p w14:paraId="148CA32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相关分析与格局分析</w:t>
            </w:r>
          </w:p>
          <w:p w14:paraId="725BCA9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回归分析</w:t>
            </w:r>
          </w:p>
          <w:p w14:paraId="4677B7E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第五章</w:t>
            </w:r>
            <w:r>
              <w:rPr>
                <w:rFonts w:ascii="Times New Roman" w:eastAsia="仿宋_GB2312" w:hAnsi="Times New Roman" w:cs="Times New Roman"/>
                <w:bCs/>
              </w:rPr>
              <w:t xml:space="preserve"> </w:t>
            </w:r>
            <w:r>
              <w:rPr>
                <w:rFonts w:ascii="Times New Roman" w:eastAsia="仿宋_GB2312" w:hAnsi="Times New Roman" w:cs="Times New Roman"/>
                <w:bCs/>
              </w:rPr>
              <w:t>基于</w:t>
            </w:r>
            <w:r>
              <w:rPr>
                <w:rFonts w:ascii="Times New Roman" w:eastAsia="仿宋_GB2312" w:hAnsi="Times New Roman" w:cs="Times New Roman"/>
                <w:bCs/>
              </w:rPr>
              <w:t>R</w:t>
            </w:r>
            <w:r>
              <w:rPr>
                <w:rFonts w:ascii="Times New Roman" w:eastAsia="仿宋_GB2312" w:hAnsi="Times New Roman" w:cs="Times New Roman"/>
                <w:bCs/>
              </w:rPr>
              <w:t>语言的分析</w:t>
            </w:r>
            <w:r>
              <w:rPr>
                <w:rFonts w:ascii="Times New Roman" w:eastAsia="仿宋_GB2312" w:hAnsi="Times New Roman" w:cs="Times New Roman"/>
                <w:bCs/>
              </w:rPr>
              <w:t>1</w:t>
            </w:r>
          </w:p>
          <w:p w14:paraId="79D709D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趋势分析与描述统计量</w:t>
            </w:r>
          </w:p>
          <w:p w14:paraId="49A1265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基于</w:t>
            </w:r>
            <w:r>
              <w:rPr>
                <w:rFonts w:ascii="Times New Roman" w:eastAsia="仿宋_GB2312" w:hAnsi="Times New Roman" w:cs="Times New Roman"/>
                <w:bCs/>
              </w:rPr>
              <w:t>R</w:t>
            </w:r>
            <w:r>
              <w:rPr>
                <w:rFonts w:ascii="Times New Roman" w:eastAsia="仿宋_GB2312" w:hAnsi="Times New Roman" w:cs="Times New Roman"/>
                <w:bCs/>
              </w:rPr>
              <w:t>语言的分析</w:t>
            </w:r>
            <w:r>
              <w:rPr>
                <w:rFonts w:ascii="Times New Roman" w:eastAsia="仿宋_GB2312" w:hAnsi="Times New Roman" w:cs="Times New Roman"/>
                <w:bCs/>
              </w:rPr>
              <w:t>2[</w:t>
            </w:r>
            <w:r>
              <w:rPr>
                <w:rFonts w:ascii="Times New Roman" w:eastAsia="仿宋_GB2312" w:hAnsi="Times New Roman" w:cs="Times New Roman"/>
                <w:bCs/>
              </w:rPr>
              <w:t>实习</w:t>
            </w:r>
            <w:r>
              <w:rPr>
                <w:rFonts w:ascii="Times New Roman" w:eastAsia="仿宋_GB2312" w:hAnsi="Times New Roman" w:cs="Times New Roman"/>
                <w:bCs/>
              </w:rPr>
              <w:t xml:space="preserve">] </w:t>
            </w:r>
          </w:p>
          <w:p w14:paraId="4647C7A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矢量数据分析与</w:t>
            </w:r>
            <w:r>
              <w:rPr>
                <w:rFonts w:ascii="Times New Roman" w:eastAsia="仿宋_GB2312" w:hAnsi="Times New Roman" w:cs="Times New Roman"/>
                <w:bCs/>
              </w:rPr>
              <w:t>TIN</w:t>
            </w:r>
            <w:r>
              <w:rPr>
                <w:rFonts w:ascii="Times New Roman" w:eastAsia="仿宋_GB2312" w:hAnsi="Times New Roman" w:cs="Times New Roman"/>
                <w:bCs/>
              </w:rPr>
              <w:t>三维空间分析</w:t>
            </w:r>
          </w:p>
          <w:p w14:paraId="4AC3C79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栅格数据分析</w:t>
            </w:r>
          </w:p>
          <w:p w14:paraId="53CC7E8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基于</w:t>
            </w:r>
            <w:r>
              <w:rPr>
                <w:rFonts w:ascii="Times New Roman" w:eastAsia="仿宋_GB2312" w:hAnsi="Times New Roman" w:cs="Times New Roman"/>
                <w:bCs/>
              </w:rPr>
              <w:t>ArcGIS</w:t>
            </w:r>
            <w:r>
              <w:rPr>
                <w:rFonts w:ascii="Times New Roman" w:eastAsia="仿宋_GB2312" w:hAnsi="Times New Roman" w:cs="Times New Roman"/>
                <w:bCs/>
              </w:rPr>
              <w:t>的</w:t>
            </w:r>
            <w:r>
              <w:rPr>
                <w:rFonts w:ascii="Times New Roman" w:eastAsia="仿宋_GB2312" w:hAnsi="Times New Roman" w:cs="Times New Roman"/>
                <w:bCs/>
              </w:rPr>
              <w:t>TIN</w:t>
            </w:r>
            <w:r>
              <w:rPr>
                <w:rFonts w:ascii="Times New Roman" w:eastAsia="仿宋_GB2312" w:hAnsi="Times New Roman" w:cs="Times New Roman"/>
                <w:bCs/>
              </w:rPr>
              <w:t>与</w:t>
            </w:r>
            <w:r>
              <w:rPr>
                <w:rFonts w:ascii="Times New Roman" w:eastAsia="仿宋_GB2312" w:hAnsi="Times New Roman" w:cs="Times New Roman"/>
                <w:bCs/>
              </w:rPr>
              <w:t>GRID</w:t>
            </w:r>
            <w:r>
              <w:rPr>
                <w:rFonts w:ascii="Times New Roman" w:eastAsia="仿宋_GB2312" w:hAnsi="Times New Roman" w:cs="Times New Roman"/>
                <w:bCs/>
              </w:rPr>
              <w:t>应用</w:t>
            </w:r>
            <w:r>
              <w:rPr>
                <w:rFonts w:ascii="Times New Roman" w:eastAsia="仿宋_GB2312" w:hAnsi="Times New Roman" w:cs="Times New Roman"/>
                <w:bCs/>
              </w:rPr>
              <w:t>[</w:t>
            </w:r>
            <w:r>
              <w:rPr>
                <w:rFonts w:ascii="Times New Roman" w:eastAsia="仿宋_GB2312" w:hAnsi="Times New Roman" w:cs="Times New Roman"/>
                <w:bCs/>
              </w:rPr>
              <w:t>实习</w:t>
            </w:r>
            <w:r>
              <w:rPr>
                <w:rFonts w:ascii="Times New Roman" w:eastAsia="仿宋_GB2312" w:hAnsi="Times New Roman" w:cs="Times New Roman"/>
                <w:bCs/>
              </w:rPr>
              <w:t xml:space="preserve">] </w:t>
            </w:r>
          </w:p>
          <w:p w14:paraId="671E4A3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第十一章</w:t>
            </w:r>
            <w:r>
              <w:rPr>
                <w:rFonts w:ascii="Times New Roman" w:eastAsia="仿宋_GB2312" w:hAnsi="Times New Roman" w:cs="Times New Roman"/>
                <w:bCs/>
              </w:rPr>
              <w:t xml:space="preserve"> </w:t>
            </w:r>
            <w:r>
              <w:rPr>
                <w:rFonts w:ascii="Times New Roman" w:eastAsia="仿宋_GB2312" w:hAnsi="Times New Roman" w:cs="Times New Roman"/>
                <w:bCs/>
              </w:rPr>
              <w:t>空间相关性</w:t>
            </w:r>
          </w:p>
          <w:p w14:paraId="10113B8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w:t>
            </w:r>
          </w:p>
        </w:tc>
      </w:tr>
      <w:tr w:rsidR="00AB51C8" w14:paraId="30D29531" w14:textId="77777777">
        <w:trPr>
          <w:trHeight w:val="612"/>
        </w:trPr>
        <w:tc>
          <w:tcPr>
            <w:tcW w:w="392" w:type="dxa"/>
            <w:vAlign w:val="center"/>
          </w:tcPr>
          <w:p w14:paraId="146D1A7A"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10</w:t>
            </w:r>
          </w:p>
        </w:tc>
        <w:tc>
          <w:tcPr>
            <w:tcW w:w="709" w:type="dxa"/>
            <w:vAlign w:val="center"/>
          </w:tcPr>
          <w:p w14:paraId="389D69A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Python</w:t>
            </w:r>
            <w:r>
              <w:rPr>
                <w:rFonts w:ascii="Times New Roman" w:eastAsia="仿宋_GB2312" w:hAnsi="Times New Roman" w:cs="Times New Roman"/>
                <w:bCs/>
              </w:rPr>
              <w:t>空间数据处理</w:t>
            </w:r>
          </w:p>
        </w:tc>
        <w:tc>
          <w:tcPr>
            <w:tcW w:w="708" w:type="dxa"/>
            <w:vAlign w:val="center"/>
          </w:tcPr>
          <w:p w14:paraId="09EBF24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w:t>
            </w:r>
            <w:proofErr w:type="gramStart"/>
            <w:r>
              <w:rPr>
                <w:rFonts w:ascii="Times New Roman" w:eastAsia="仿宋_GB2312" w:hAnsi="Times New Roman" w:cs="Times New Roman"/>
                <w:bCs/>
              </w:rPr>
              <w:t>普及课</w:t>
            </w:r>
            <w:proofErr w:type="gramEnd"/>
          </w:p>
        </w:tc>
        <w:tc>
          <w:tcPr>
            <w:tcW w:w="709" w:type="dxa"/>
            <w:vAlign w:val="center"/>
          </w:tcPr>
          <w:p w14:paraId="3BB9CD4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3.0</w:t>
            </w:r>
          </w:p>
        </w:tc>
        <w:tc>
          <w:tcPr>
            <w:tcW w:w="738" w:type="dxa"/>
            <w:vAlign w:val="center"/>
          </w:tcPr>
          <w:p w14:paraId="62050DEF" w14:textId="77777777" w:rsidR="00AB51C8" w:rsidRDefault="00000000">
            <w:pPr>
              <w:pStyle w:val="15"/>
              <w:adjustRightInd w:val="0"/>
              <w:snapToGrid w:val="0"/>
              <w:ind w:firstLineChars="0" w:firstLine="0"/>
              <w:jc w:val="both"/>
              <w:rPr>
                <w:rFonts w:ascii="Times New Roman" w:eastAsia="仿宋_GB2312" w:hAnsi="Times New Roman" w:cs="Times New Roman"/>
                <w:bCs/>
              </w:rPr>
            </w:pPr>
            <w:proofErr w:type="gramStart"/>
            <w:r>
              <w:rPr>
                <w:rFonts w:ascii="Times New Roman" w:eastAsia="仿宋_GB2312" w:hAnsi="Times New Roman" w:cs="Times New Roman"/>
                <w:bCs/>
              </w:rPr>
              <w:t>宋现锋</w:t>
            </w:r>
            <w:proofErr w:type="gramEnd"/>
            <w:r>
              <w:rPr>
                <w:rFonts w:ascii="Times New Roman" w:eastAsia="仿宋_GB2312" w:hAnsi="Times New Roman" w:cs="Times New Roman"/>
                <w:bCs/>
              </w:rPr>
              <w:t>等</w:t>
            </w:r>
          </w:p>
        </w:tc>
        <w:tc>
          <w:tcPr>
            <w:tcW w:w="1842" w:type="dxa"/>
            <w:vAlign w:val="center"/>
          </w:tcPr>
          <w:p w14:paraId="76F46E4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主要讲授</w:t>
            </w:r>
            <w:r>
              <w:rPr>
                <w:rFonts w:ascii="Times New Roman" w:eastAsia="仿宋_GB2312" w:hAnsi="Times New Roman" w:cs="Times New Roman"/>
                <w:bCs/>
              </w:rPr>
              <w:t>Python</w:t>
            </w:r>
            <w:r>
              <w:rPr>
                <w:rFonts w:ascii="Times New Roman" w:eastAsia="仿宋_GB2312" w:hAnsi="Times New Roman" w:cs="Times New Roman"/>
                <w:bCs/>
              </w:rPr>
              <w:t>语言及常用空间数据处理软件包，目的是让学生掌握一门简单易学、编程效率高的高级计算机语言，通过集成</w:t>
            </w:r>
            <w:r>
              <w:rPr>
                <w:rFonts w:ascii="Times New Roman" w:eastAsia="仿宋_GB2312" w:hAnsi="Times New Roman" w:cs="Times New Roman"/>
                <w:bCs/>
              </w:rPr>
              <w:t>Open Source GIS</w:t>
            </w:r>
            <w:r>
              <w:rPr>
                <w:rFonts w:ascii="Times New Roman" w:eastAsia="仿宋_GB2312" w:hAnsi="Times New Roman" w:cs="Times New Roman"/>
                <w:bCs/>
              </w:rPr>
              <w:t>，快速开发用于地学数据挖掘、结果展示的批处理系统或桌面</w:t>
            </w:r>
            <w:r>
              <w:rPr>
                <w:rFonts w:ascii="Times New Roman" w:eastAsia="仿宋_GB2312" w:hAnsi="Times New Roman" w:cs="Times New Roman"/>
                <w:bCs/>
              </w:rPr>
              <w:t>GIS</w:t>
            </w:r>
            <w:r>
              <w:rPr>
                <w:rFonts w:ascii="Times New Roman" w:eastAsia="仿宋_GB2312" w:hAnsi="Times New Roman" w:cs="Times New Roman"/>
                <w:bCs/>
              </w:rPr>
              <w:t>软件。</w:t>
            </w:r>
          </w:p>
        </w:tc>
        <w:tc>
          <w:tcPr>
            <w:tcW w:w="709" w:type="dxa"/>
            <w:vAlign w:val="center"/>
          </w:tcPr>
          <w:p w14:paraId="1A38701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w:t>
            </w:r>
          </w:p>
        </w:tc>
        <w:tc>
          <w:tcPr>
            <w:tcW w:w="2977" w:type="dxa"/>
            <w:vAlign w:val="center"/>
          </w:tcPr>
          <w:p w14:paraId="02300BD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Python</w:t>
            </w:r>
            <w:r>
              <w:rPr>
                <w:rFonts w:ascii="Times New Roman" w:eastAsia="仿宋_GB2312" w:hAnsi="Times New Roman" w:cs="Times New Roman"/>
                <w:bCs/>
              </w:rPr>
              <w:t>简介</w:t>
            </w:r>
            <w:r>
              <w:rPr>
                <w:rFonts w:ascii="Times New Roman" w:eastAsia="仿宋_GB2312" w:hAnsi="Times New Roman" w:cs="Times New Roman"/>
                <w:bCs/>
              </w:rPr>
              <w:t xml:space="preserve"> </w:t>
            </w:r>
          </w:p>
          <w:p w14:paraId="08427AB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空间数据文件访问</w:t>
            </w:r>
          </w:p>
          <w:p w14:paraId="796A88E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地图投影转换</w:t>
            </w:r>
          </w:p>
          <w:p w14:paraId="0712451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科学工程计算（</w:t>
            </w:r>
            <w:proofErr w:type="spellStart"/>
            <w:r>
              <w:rPr>
                <w:rFonts w:ascii="Times New Roman" w:eastAsia="仿宋_GB2312" w:hAnsi="Times New Roman" w:cs="Times New Roman"/>
                <w:bCs/>
              </w:rPr>
              <w:t>Scipy</w:t>
            </w:r>
            <w:proofErr w:type="spellEnd"/>
            <w:r>
              <w:rPr>
                <w:rFonts w:ascii="Times New Roman" w:eastAsia="仿宋_GB2312" w:hAnsi="Times New Roman" w:cs="Times New Roman"/>
                <w:bCs/>
              </w:rPr>
              <w:t>）</w:t>
            </w:r>
          </w:p>
          <w:p w14:paraId="62F1962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机器学习</w:t>
            </w:r>
            <w:r>
              <w:rPr>
                <w:rFonts w:ascii="Times New Roman" w:eastAsia="仿宋_GB2312" w:hAnsi="Times New Roman" w:cs="Times New Roman"/>
                <w:bCs/>
              </w:rPr>
              <w:t xml:space="preserve"> - </w:t>
            </w:r>
            <w:r>
              <w:rPr>
                <w:rFonts w:ascii="Times New Roman" w:eastAsia="仿宋_GB2312" w:hAnsi="Times New Roman" w:cs="Times New Roman"/>
                <w:bCs/>
              </w:rPr>
              <w:t>空间数据聚类、分类问题</w:t>
            </w:r>
          </w:p>
          <w:p w14:paraId="6919B68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优化建模</w:t>
            </w:r>
          </w:p>
          <w:p w14:paraId="1A7D000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Python GIS</w:t>
            </w:r>
            <w:r>
              <w:rPr>
                <w:rFonts w:ascii="Times New Roman" w:eastAsia="仿宋_GB2312" w:hAnsi="Times New Roman" w:cs="Times New Roman"/>
                <w:bCs/>
              </w:rPr>
              <w:t>集成</w:t>
            </w:r>
          </w:p>
          <w:p w14:paraId="487737A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proofErr w:type="spellStart"/>
            <w:r>
              <w:rPr>
                <w:rFonts w:ascii="Times New Roman" w:eastAsia="仿宋_GB2312" w:hAnsi="Times New Roman" w:cs="Times New Roman"/>
                <w:bCs/>
              </w:rPr>
              <w:t>arcpy</w:t>
            </w:r>
            <w:proofErr w:type="spellEnd"/>
            <w:r>
              <w:rPr>
                <w:rFonts w:ascii="Times New Roman" w:eastAsia="仿宋_GB2312" w:hAnsi="Times New Roman" w:cs="Times New Roman"/>
                <w:bCs/>
              </w:rPr>
              <w:t>数据访问</w:t>
            </w:r>
          </w:p>
          <w:p w14:paraId="209FE2F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w:t>
            </w:r>
          </w:p>
        </w:tc>
      </w:tr>
      <w:tr w:rsidR="00AB51C8" w14:paraId="4BECD516" w14:textId="77777777">
        <w:trPr>
          <w:trHeight w:val="612"/>
        </w:trPr>
        <w:tc>
          <w:tcPr>
            <w:tcW w:w="392" w:type="dxa"/>
            <w:vAlign w:val="center"/>
          </w:tcPr>
          <w:p w14:paraId="19B2378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11</w:t>
            </w:r>
          </w:p>
        </w:tc>
        <w:tc>
          <w:tcPr>
            <w:tcW w:w="709" w:type="dxa"/>
            <w:vAlign w:val="center"/>
          </w:tcPr>
          <w:p w14:paraId="65089E1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资源经济</w:t>
            </w:r>
            <w:r>
              <w:rPr>
                <w:rFonts w:ascii="Times New Roman" w:eastAsia="仿宋_GB2312" w:hAnsi="Times New Roman" w:cs="Times New Roman"/>
                <w:bCs/>
              </w:rPr>
              <w:lastRenderedPageBreak/>
              <w:t>学</w:t>
            </w:r>
          </w:p>
        </w:tc>
        <w:tc>
          <w:tcPr>
            <w:tcW w:w="708" w:type="dxa"/>
            <w:vAlign w:val="center"/>
          </w:tcPr>
          <w:p w14:paraId="16A4C73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专业核心</w:t>
            </w:r>
            <w:r>
              <w:rPr>
                <w:rFonts w:ascii="Times New Roman" w:eastAsia="仿宋_GB2312" w:hAnsi="Times New Roman" w:cs="Times New Roman"/>
                <w:bCs/>
              </w:rPr>
              <w:lastRenderedPageBreak/>
              <w:t>课</w:t>
            </w:r>
          </w:p>
        </w:tc>
        <w:tc>
          <w:tcPr>
            <w:tcW w:w="709" w:type="dxa"/>
            <w:vAlign w:val="center"/>
          </w:tcPr>
          <w:p w14:paraId="4A7B8F6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3.0</w:t>
            </w:r>
          </w:p>
        </w:tc>
        <w:tc>
          <w:tcPr>
            <w:tcW w:w="738" w:type="dxa"/>
            <w:vAlign w:val="center"/>
          </w:tcPr>
          <w:p w14:paraId="0139370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沈镭等</w:t>
            </w:r>
          </w:p>
        </w:tc>
        <w:tc>
          <w:tcPr>
            <w:tcW w:w="1842" w:type="dxa"/>
            <w:vAlign w:val="center"/>
          </w:tcPr>
          <w:p w14:paraId="0B004AB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学习运用有关经济分析解决</w:t>
            </w:r>
            <w:r>
              <w:rPr>
                <w:rFonts w:ascii="Times New Roman" w:eastAsia="仿宋_GB2312" w:hAnsi="Times New Roman" w:cs="Times New Roman"/>
                <w:bCs/>
              </w:rPr>
              <w:lastRenderedPageBreak/>
              <w:t>各种资源问题的研究范式、解决实际应用问题，掌握资源经济分析的基本理论和方法。从整体和有机联系的角度去理解并掌握自然资源、人类社会、环境和社会经济发展的耦合关系和经济规律。</w:t>
            </w:r>
          </w:p>
        </w:tc>
        <w:tc>
          <w:tcPr>
            <w:tcW w:w="709" w:type="dxa"/>
            <w:vAlign w:val="center"/>
          </w:tcPr>
          <w:p w14:paraId="253EA25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6EE7163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学科背景与绪论</w:t>
            </w:r>
            <w:r>
              <w:rPr>
                <w:rFonts w:ascii="Times New Roman" w:eastAsia="仿宋_GB2312" w:hAnsi="Times New Roman" w:cs="Times New Roman"/>
                <w:bCs/>
              </w:rPr>
              <w:t xml:space="preserve"> </w:t>
            </w:r>
          </w:p>
          <w:p w14:paraId="324B66E7"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资源市场配置理论</w:t>
            </w:r>
          </w:p>
          <w:p w14:paraId="11B768F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第三章</w:t>
            </w:r>
            <w:r>
              <w:rPr>
                <w:rFonts w:ascii="Times New Roman" w:eastAsia="仿宋_GB2312" w:hAnsi="Times New Roman" w:cs="Times New Roman"/>
                <w:bCs/>
              </w:rPr>
              <w:t xml:space="preserve"> </w:t>
            </w:r>
            <w:r>
              <w:rPr>
                <w:rFonts w:ascii="Times New Roman" w:eastAsia="仿宋_GB2312" w:hAnsi="Times New Roman" w:cs="Times New Roman"/>
                <w:bCs/>
              </w:rPr>
              <w:t>能源资源经济学</w:t>
            </w:r>
            <w:r>
              <w:rPr>
                <w:rFonts w:ascii="Times New Roman" w:eastAsia="仿宋_GB2312" w:hAnsi="Times New Roman" w:cs="Times New Roman"/>
                <w:bCs/>
              </w:rPr>
              <w:t xml:space="preserve"> </w:t>
            </w:r>
          </w:p>
          <w:p w14:paraId="444366C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矿产资源经济学</w:t>
            </w:r>
            <w:r>
              <w:rPr>
                <w:rFonts w:ascii="Times New Roman" w:eastAsia="仿宋_GB2312" w:hAnsi="Times New Roman" w:cs="Times New Roman"/>
                <w:bCs/>
              </w:rPr>
              <w:t xml:space="preserve"> </w:t>
            </w:r>
          </w:p>
          <w:p w14:paraId="68CBF62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水资源经济学</w:t>
            </w:r>
          </w:p>
          <w:p w14:paraId="73B01A8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土地资源经济学</w:t>
            </w:r>
            <w:r>
              <w:rPr>
                <w:rFonts w:ascii="Times New Roman" w:eastAsia="仿宋_GB2312" w:hAnsi="Times New Roman" w:cs="Times New Roman"/>
                <w:bCs/>
              </w:rPr>
              <w:t xml:space="preserve"> </w:t>
            </w:r>
          </w:p>
          <w:p w14:paraId="45F6826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森林和渔业资源经济学</w:t>
            </w:r>
          </w:p>
          <w:p w14:paraId="1CF4E59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资源产业与资源型城市</w:t>
            </w:r>
          </w:p>
          <w:p w14:paraId="7A195CB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资源价值理论</w:t>
            </w:r>
          </w:p>
          <w:p w14:paraId="3A080BB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自然资源核算</w:t>
            </w:r>
          </w:p>
          <w:p w14:paraId="61B7315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w:t>
            </w:r>
          </w:p>
        </w:tc>
      </w:tr>
      <w:tr w:rsidR="00AB51C8" w14:paraId="4DF0091A" w14:textId="77777777">
        <w:trPr>
          <w:trHeight w:val="612"/>
        </w:trPr>
        <w:tc>
          <w:tcPr>
            <w:tcW w:w="392" w:type="dxa"/>
            <w:vAlign w:val="center"/>
          </w:tcPr>
          <w:p w14:paraId="57B777D8"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12</w:t>
            </w:r>
          </w:p>
        </w:tc>
        <w:tc>
          <w:tcPr>
            <w:tcW w:w="709" w:type="dxa"/>
            <w:vAlign w:val="center"/>
          </w:tcPr>
          <w:p w14:paraId="347D84E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环境影响评价</w:t>
            </w:r>
          </w:p>
        </w:tc>
        <w:tc>
          <w:tcPr>
            <w:tcW w:w="708" w:type="dxa"/>
            <w:vAlign w:val="center"/>
          </w:tcPr>
          <w:p w14:paraId="4E60F0F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w:t>
            </w:r>
            <w:proofErr w:type="gramStart"/>
            <w:r>
              <w:rPr>
                <w:rFonts w:ascii="Times New Roman" w:eastAsia="仿宋_GB2312" w:hAnsi="Times New Roman" w:cs="Times New Roman"/>
                <w:bCs/>
              </w:rPr>
              <w:t>普及课</w:t>
            </w:r>
            <w:proofErr w:type="gramEnd"/>
          </w:p>
        </w:tc>
        <w:tc>
          <w:tcPr>
            <w:tcW w:w="709" w:type="dxa"/>
            <w:vAlign w:val="center"/>
          </w:tcPr>
          <w:p w14:paraId="78099D3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2.0</w:t>
            </w:r>
          </w:p>
        </w:tc>
        <w:tc>
          <w:tcPr>
            <w:tcW w:w="738" w:type="dxa"/>
            <w:vAlign w:val="center"/>
          </w:tcPr>
          <w:p w14:paraId="23E0D3C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刘文彬等</w:t>
            </w:r>
          </w:p>
        </w:tc>
        <w:tc>
          <w:tcPr>
            <w:tcW w:w="1842" w:type="dxa"/>
            <w:vAlign w:val="center"/>
          </w:tcPr>
          <w:p w14:paraId="0329EEF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使学生了解环境影响评价的基本原理、方法、相关的法规和标准以及我国环境影响评价工作的实践和国外环境影响评价工作的最新进展，从而为今后开展有关环境影响评价工作打下基础。</w:t>
            </w:r>
          </w:p>
        </w:tc>
        <w:tc>
          <w:tcPr>
            <w:tcW w:w="709" w:type="dxa"/>
            <w:vAlign w:val="center"/>
          </w:tcPr>
          <w:p w14:paraId="7AC2040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w:t>
            </w:r>
          </w:p>
        </w:tc>
        <w:tc>
          <w:tcPr>
            <w:tcW w:w="2977" w:type="dxa"/>
            <w:vAlign w:val="center"/>
          </w:tcPr>
          <w:p w14:paraId="0021492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大气环境影响评价</w:t>
            </w:r>
          </w:p>
          <w:p w14:paraId="1800280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固废环境影响评价</w:t>
            </w:r>
          </w:p>
          <w:p w14:paraId="590C334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地表水环境影响评价</w:t>
            </w:r>
          </w:p>
          <w:p w14:paraId="44178BA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地下水环境影响评价</w:t>
            </w:r>
          </w:p>
          <w:p w14:paraId="5656654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环境规划评价</w:t>
            </w:r>
          </w:p>
          <w:p w14:paraId="4B794C0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生态风险评价</w:t>
            </w:r>
          </w:p>
          <w:p w14:paraId="0766C1E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环境影响评价方法</w:t>
            </w:r>
          </w:p>
          <w:p w14:paraId="0C2A4D9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环</w:t>
            </w:r>
            <w:proofErr w:type="gramStart"/>
            <w:r>
              <w:rPr>
                <w:rFonts w:ascii="Times New Roman" w:eastAsia="仿宋_GB2312" w:hAnsi="Times New Roman" w:cs="Times New Roman"/>
                <w:bCs/>
              </w:rPr>
              <w:t>评讨论</w:t>
            </w:r>
            <w:proofErr w:type="gramEnd"/>
            <w:r>
              <w:rPr>
                <w:rFonts w:ascii="Times New Roman" w:eastAsia="仿宋_GB2312" w:hAnsi="Times New Roman" w:cs="Times New Roman"/>
                <w:bCs/>
              </w:rPr>
              <w:t>课</w:t>
            </w:r>
          </w:p>
        </w:tc>
      </w:tr>
      <w:tr w:rsidR="00AB51C8" w14:paraId="3C6E11A0" w14:textId="77777777">
        <w:trPr>
          <w:trHeight w:val="612"/>
        </w:trPr>
        <w:tc>
          <w:tcPr>
            <w:tcW w:w="392" w:type="dxa"/>
            <w:vAlign w:val="center"/>
          </w:tcPr>
          <w:p w14:paraId="0C9A0377"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13</w:t>
            </w:r>
          </w:p>
        </w:tc>
        <w:tc>
          <w:tcPr>
            <w:tcW w:w="709" w:type="dxa"/>
            <w:vAlign w:val="center"/>
          </w:tcPr>
          <w:p w14:paraId="0B83979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环境数据</w:t>
            </w:r>
            <w:r>
              <w:rPr>
                <w:rFonts w:ascii="Times New Roman" w:eastAsia="仿宋_GB2312" w:hAnsi="Times New Roman" w:cs="Times New Roman"/>
                <w:bCs/>
              </w:rPr>
              <w:lastRenderedPageBreak/>
              <w:t>的统计学分析方法</w:t>
            </w:r>
          </w:p>
        </w:tc>
        <w:tc>
          <w:tcPr>
            <w:tcW w:w="708" w:type="dxa"/>
            <w:vAlign w:val="center"/>
          </w:tcPr>
          <w:p w14:paraId="525C426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专业</w:t>
            </w:r>
            <w:proofErr w:type="gramStart"/>
            <w:r>
              <w:rPr>
                <w:rFonts w:ascii="Times New Roman" w:eastAsia="仿宋_GB2312" w:hAnsi="Times New Roman" w:cs="Times New Roman"/>
                <w:bCs/>
              </w:rPr>
              <w:t>普及</w:t>
            </w:r>
            <w:r>
              <w:rPr>
                <w:rFonts w:ascii="Times New Roman" w:eastAsia="仿宋_GB2312" w:hAnsi="Times New Roman" w:cs="Times New Roman"/>
                <w:bCs/>
              </w:rPr>
              <w:lastRenderedPageBreak/>
              <w:t>课</w:t>
            </w:r>
            <w:proofErr w:type="gramEnd"/>
          </w:p>
        </w:tc>
        <w:tc>
          <w:tcPr>
            <w:tcW w:w="709" w:type="dxa"/>
            <w:vAlign w:val="center"/>
          </w:tcPr>
          <w:p w14:paraId="386BE6C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3.0</w:t>
            </w:r>
          </w:p>
        </w:tc>
        <w:tc>
          <w:tcPr>
            <w:tcW w:w="738" w:type="dxa"/>
            <w:vAlign w:val="center"/>
          </w:tcPr>
          <w:p w14:paraId="1E81EC3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张爱茜等</w:t>
            </w:r>
          </w:p>
        </w:tc>
        <w:tc>
          <w:tcPr>
            <w:tcW w:w="1842" w:type="dxa"/>
            <w:vAlign w:val="center"/>
          </w:tcPr>
          <w:p w14:paraId="7950A89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本课程由三篇共十一章组成，</w:t>
            </w:r>
            <w:r>
              <w:rPr>
                <w:rFonts w:ascii="Times New Roman" w:eastAsia="仿宋_GB2312" w:hAnsi="Times New Roman" w:cs="Times New Roman"/>
                <w:bCs/>
              </w:rPr>
              <w:lastRenderedPageBreak/>
              <w:t>第一篇是统计学方法理论以及环境数据分析基础知识的回顾，第二篇和第三篇则是在温故知新的基础上介绍环境数据分析常见的统计学方法。</w:t>
            </w:r>
            <w:r>
              <w:rPr>
                <w:rFonts w:ascii="Times New Roman" w:eastAsia="仿宋_GB2312" w:hAnsi="Times New Roman" w:cs="Times New Roman"/>
                <w:bCs/>
              </w:rPr>
              <w:t xml:space="preserve"> </w:t>
            </w:r>
          </w:p>
        </w:tc>
        <w:tc>
          <w:tcPr>
            <w:tcW w:w="709" w:type="dxa"/>
            <w:vAlign w:val="center"/>
          </w:tcPr>
          <w:p w14:paraId="266181A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05B8A06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绪论</w:t>
            </w:r>
          </w:p>
          <w:p w14:paraId="16EDEE4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探索性数据分析</w:t>
            </w:r>
            <w:r>
              <w:rPr>
                <w:rFonts w:ascii="Times New Roman" w:eastAsia="仿宋_GB2312" w:hAnsi="Times New Roman" w:cs="Times New Roman"/>
                <w:bCs/>
              </w:rPr>
              <w:t xml:space="preserve"> </w:t>
            </w:r>
          </w:p>
          <w:p w14:paraId="40DBCED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第三章</w:t>
            </w:r>
            <w:r>
              <w:rPr>
                <w:rFonts w:ascii="Times New Roman" w:eastAsia="仿宋_GB2312" w:hAnsi="Times New Roman" w:cs="Times New Roman"/>
                <w:bCs/>
              </w:rPr>
              <w:t xml:space="preserve"> </w:t>
            </w:r>
            <w:r>
              <w:rPr>
                <w:rFonts w:ascii="Times New Roman" w:eastAsia="仿宋_GB2312" w:hAnsi="Times New Roman" w:cs="Times New Roman"/>
                <w:bCs/>
              </w:rPr>
              <w:t>环境数据预处理</w:t>
            </w:r>
            <w:r>
              <w:rPr>
                <w:rFonts w:ascii="Times New Roman" w:eastAsia="仿宋_GB2312" w:hAnsi="Times New Roman" w:cs="Times New Roman"/>
                <w:bCs/>
              </w:rPr>
              <w:t xml:space="preserve"> </w:t>
            </w:r>
          </w:p>
          <w:p w14:paraId="4B9C251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proofErr w:type="gramStart"/>
            <w:r>
              <w:rPr>
                <w:rFonts w:ascii="Times New Roman" w:eastAsia="仿宋_GB2312" w:hAnsi="Times New Roman" w:cs="Times New Roman"/>
                <w:bCs/>
              </w:rPr>
              <w:t>数据降维和</w:t>
            </w:r>
            <w:proofErr w:type="gramEnd"/>
            <w:r>
              <w:rPr>
                <w:rFonts w:ascii="Times New Roman" w:eastAsia="仿宋_GB2312" w:hAnsi="Times New Roman" w:cs="Times New Roman"/>
                <w:bCs/>
              </w:rPr>
              <w:t>其规律的认识</w:t>
            </w:r>
          </w:p>
          <w:p w14:paraId="4048BD2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环境数据比较和影响因素研究中的参数方法</w:t>
            </w:r>
          </w:p>
          <w:p w14:paraId="418D3F0F"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环境研究中不可控影响因素的分析方法</w:t>
            </w:r>
            <w:r>
              <w:rPr>
                <w:rFonts w:ascii="Times New Roman" w:eastAsia="仿宋_GB2312" w:hAnsi="Times New Roman" w:cs="Times New Roman"/>
                <w:bCs/>
              </w:rPr>
              <w:t xml:space="preserve"> </w:t>
            </w:r>
          </w:p>
          <w:p w14:paraId="62B8FDA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环境研究的常见试验设计方法</w:t>
            </w:r>
          </w:p>
          <w:p w14:paraId="6DE7323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环境数据比较和影响因素分析的非参数方法</w:t>
            </w:r>
          </w:p>
          <w:p w14:paraId="597EB70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环境问题趋势定性分析</w:t>
            </w:r>
          </w:p>
          <w:p w14:paraId="6D3F9CC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w:t>
            </w:r>
          </w:p>
        </w:tc>
      </w:tr>
      <w:tr w:rsidR="00AB51C8" w14:paraId="42394B30" w14:textId="77777777">
        <w:trPr>
          <w:trHeight w:val="612"/>
        </w:trPr>
        <w:tc>
          <w:tcPr>
            <w:tcW w:w="392" w:type="dxa"/>
            <w:vAlign w:val="center"/>
          </w:tcPr>
          <w:p w14:paraId="65A6FBDE"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lastRenderedPageBreak/>
              <w:t>14</w:t>
            </w:r>
          </w:p>
        </w:tc>
        <w:tc>
          <w:tcPr>
            <w:tcW w:w="709" w:type="dxa"/>
            <w:vAlign w:val="center"/>
          </w:tcPr>
          <w:p w14:paraId="52195E3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科研统计方法</w:t>
            </w:r>
          </w:p>
        </w:tc>
        <w:tc>
          <w:tcPr>
            <w:tcW w:w="708" w:type="dxa"/>
            <w:vAlign w:val="center"/>
          </w:tcPr>
          <w:p w14:paraId="323F893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专业</w:t>
            </w:r>
            <w:proofErr w:type="gramStart"/>
            <w:r>
              <w:rPr>
                <w:rFonts w:ascii="Times New Roman" w:eastAsia="仿宋_GB2312" w:hAnsi="Times New Roman" w:cs="Times New Roman"/>
                <w:bCs/>
              </w:rPr>
              <w:t>普及课</w:t>
            </w:r>
            <w:proofErr w:type="gramEnd"/>
          </w:p>
        </w:tc>
        <w:tc>
          <w:tcPr>
            <w:tcW w:w="709" w:type="dxa"/>
            <w:vAlign w:val="center"/>
          </w:tcPr>
          <w:p w14:paraId="4A80EAA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2.0</w:t>
            </w:r>
          </w:p>
        </w:tc>
        <w:tc>
          <w:tcPr>
            <w:tcW w:w="738" w:type="dxa"/>
            <w:vAlign w:val="center"/>
          </w:tcPr>
          <w:p w14:paraId="4EB64442"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张建方</w:t>
            </w:r>
          </w:p>
        </w:tc>
        <w:tc>
          <w:tcPr>
            <w:tcW w:w="1842" w:type="dxa"/>
            <w:vAlign w:val="center"/>
          </w:tcPr>
          <w:p w14:paraId="4165780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本讨论班是为各学科研究生在科研中更好地应用统计方法而开设，同时讲解相关科研方法，以及怎样开展科研和提高科研水平。</w:t>
            </w:r>
          </w:p>
        </w:tc>
        <w:tc>
          <w:tcPr>
            <w:tcW w:w="709" w:type="dxa"/>
            <w:vAlign w:val="center"/>
          </w:tcPr>
          <w:p w14:paraId="6CBAC5D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中文</w:t>
            </w:r>
          </w:p>
        </w:tc>
        <w:tc>
          <w:tcPr>
            <w:tcW w:w="2977" w:type="dxa"/>
            <w:vAlign w:val="center"/>
          </w:tcPr>
          <w:p w14:paraId="54458BE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统计学概况</w:t>
            </w:r>
          </w:p>
          <w:p w14:paraId="0B14BD8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统计数据收集整理</w:t>
            </w:r>
          </w:p>
          <w:p w14:paraId="35B724F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参数估计</w:t>
            </w:r>
          </w:p>
          <w:p w14:paraId="4E1180B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假设检验</w:t>
            </w:r>
          </w:p>
          <w:p w14:paraId="1084427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方差分析</w:t>
            </w:r>
          </w:p>
          <w:p w14:paraId="3CF7132B"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相关与回归分析</w:t>
            </w:r>
            <w:r>
              <w:rPr>
                <w:rFonts w:ascii="Times New Roman" w:eastAsia="仿宋_GB2312" w:hAnsi="Times New Roman" w:cs="Times New Roman"/>
                <w:bCs/>
              </w:rPr>
              <w:t xml:space="preserve"> </w:t>
            </w:r>
          </w:p>
          <w:p w14:paraId="6DA7321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读书报告</w:t>
            </w:r>
          </w:p>
        </w:tc>
      </w:tr>
      <w:tr w:rsidR="00AB51C8" w14:paraId="6D169AD0" w14:textId="77777777">
        <w:trPr>
          <w:trHeight w:val="612"/>
        </w:trPr>
        <w:tc>
          <w:tcPr>
            <w:tcW w:w="392" w:type="dxa"/>
            <w:vAlign w:val="center"/>
          </w:tcPr>
          <w:p w14:paraId="2B063825"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15</w:t>
            </w:r>
          </w:p>
        </w:tc>
        <w:tc>
          <w:tcPr>
            <w:tcW w:w="709" w:type="dxa"/>
            <w:vAlign w:val="center"/>
          </w:tcPr>
          <w:p w14:paraId="28A4B6C3"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科技信息检索与利用实用技巧</w:t>
            </w:r>
            <w:r>
              <w:rPr>
                <w:rFonts w:ascii="Times New Roman" w:eastAsia="仿宋_GB2312" w:hAnsi="Times New Roman" w:cs="Times New Roman"/>
                <w:bCs/>
              </w:rPr>
              <w:t>(</w:t>
            </w:r>
            <w:r>
              <w:rPr>
                <w:rFonts w:ascii="Times New Roman" w:eastAsia="仿宋_GB2312" w:hAnsi="Times New Roman" w:cs="Times New Roman"/>
                <w:bCs/>
              </w:rPr>
              <w:t>综</w:t>
            </w:r>
            <w:r>
              <w:rPr>
                <w:rFonts w:ascii="Times New Roman" w:eastAsia="仿宋_GB2312" w:hAnsi="Times New Roman" w:cs="Times New Roman"/>
                <w:bCs/>
              </w:rPr>
              <w:lastRenderedPageBreak/>
              <w:t>合</w:t>
            </w:r>
            <w:r>
              <w:rPr>
                <w:rFonts w:ascii="Times New Roman" w:eastAsia="仿宋_GB2312" w:hAnsi="Times New Roman" w:cs="Times New Roman"/>
                <w:bCs/>
              </w:rPr>
              <w:t>)</w:t>
            </w:r>
          </w:p>
        </w:tc>
        <w:tc>
          <w:tcPr>
            <w:tcW w:w="708" w:type="dxa"/>
            <w:vAlign w:val="center"/>
          </w:tcPr>
          <w:p w14:paraId="52043014"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选修课</w:t>
            </w:r>
          </w:p>
        </w:tc>
        <w:tc>
          <w:tcPr>
            <w:tcW w:w="709" w:type="dxa"/>
            <w:vAlign w:val="center"/>
          </w:tcPr>
          <w:p w14:paraId="05B555E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1.0</w:t>
            </w:r>
          </w:p>
        </w:tc>
        <w:tc>
          <w:tcPr>
            <w:tcW w:w="738" w:type="dxa"/>
            <w:vAlign w:val="center"/>
          </w:tcPr>
          <w:p w14:paraId="18ADEC5E"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王保成</w:t>
            </w:r>
          </w:p>
        </w:tc>
        <w:tc>
          <w:tcPr>
            <w:tcW w:w="1842" w:type="dxa"/>
            <w:vAlign w:val="center"/>
          </w:tcPr>
          <w:p w14:paraId="63519D6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以提高研究生科学研究能力为宗旨，推行研究生信息素质教育。以开展普及性科研文献信息检索的方法与技巧教育</w:t>
            </w:r>
            <w:r>
              <w:rPr>
                <w:rFonts w:ascii="Times New Roman" w:eastAsia="仿宋_GB2312" w:hAnsi="Times New Roman" w:cs="Times New Roman"/>
                <w:bCs/>
              </w:rPr>
              <w:lastRenderedPageBreak/>
              <w:t>为具体目标，提高研究生在科研学习过程中信息查询、信息管理等基本信息素养能力。</w:t>
            </w:r>
          </w:p>
        </w:tc>
        <w:tc>
          <w:tcPr>
            <w:tcW w:w="709" w:type="dxa"/>
            <w:vAlign w:val="center"/>
          </w:tcPr>
          <w:p w14:paraId="4D0F53C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lastRenderedPageBreak/>
              <w:t>中文</w:t>
            </w:r>
          </w:p>
        </w:tc>
        <w:tc>
          <w:tcPr>
            <w:tcW w:w="2977" w:type="dxa"/>
            <w:vAlign w:val="center"/>
          </w:tcPr>
          <w:p w14:paraId="600EB6D6"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第一章</w:t>
            </w:r>
            <w:r>
              <w:rPr>
                <w:rFonts w:ascii="Times New Roman" w:eastAsia="仿宋_GB2312" w:hAnsi="Times New Roman" w:cs="Times New Roman"/>
                <w:bCs/>
              </w:rPr>
              <w:t xml:space="preserve"> </w:t>
            </w:r>
            <w:r>
              <w:rPr>
                <w:rFonts w:ascii="Times New Roman" w:eastAsia="仿宋_GB2312" w:hAnsi="Times New Roman" w:cs="Times New Roman"/>
                <w:bCs/>
              </w:rPr>
              <w:t>课程介绍与信息检索基础理论</w:t>
            </w:r>
          </w:p>
          <w:p w14:paraId="2F89280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第二章</w:t>
            </w:r>
            <w:r>
              <w:rPr>
                <w:rFonts w:ascii="Times New Roman" w:eastAsia="仿宋_GB2312" w:hAnsi="Times New Roman" w:cs="Times New Roman"/>
                <w:bCs/>
              </w:rPr>
              <w:t xml:space="preserve"> </w:t>
            </w:r>
            <w:r>
              <w:rPr>
                <w:rFonts w:ascii="Times New Roman" w:eastAsia="仿宋_GB2312" w:hAnsi="Times New Roman" w:cs="Times New Roman"/>
                <w:bCs/>
              </w:rPr>
              <w:t>信息需求与检索技巧</w:t>
            </w:r>
          </w:p>
          <w:p w14:paraId="3BD0764C"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第三章</w:t>
            </w:r>
            <w:r>
              <w:rPr>
                <w:rFonts w:ascii="Times New Roman" w:eastAsia="仿宋_GB2312" w:hAnsi="Times New Roman" w:cs="Times New Roman"/>
                <w:bCs/>
              </w:rPr>
              <w:t xml:space="preserve"> </w:t>
            </w:r>
            <w:r>
              <w:rPr>
                <w:rFonts w:ascii="Times New Roman" w:eastAsia="仿宋_GB2312" w:hAnsi="Times New Roman" w:cs="Times New Roman"/>
                <w:bCs/>
              </w:rPr>
              <w:t>常用检索平台及检索实例</w:t>
            </w:r>
          </w:p>
          <w:p w14:paraId="47570379"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第四章</w:t>
            </w:r>
            <w:r>
              <w:rPr>
                <w:rFonts w:ascii="Times New Roman" w:eastAsia="仿宋_GB2312" w:hAnsi="Times New Roman" w:cs="Times New Roman"/>
                <w:bCs/>
              </w:rPr>
              <w:t xml:space="preserve"> </w:t>
            </w:r>
            <w:r>
              <w:rPr>
                <w:rFonts w:ascii="Times New Roman" w:eastAsia="仿宋_GB2312" w:hAnsi="Times New Roman" w:cs="Times New Roman"/>
                <w:bCs/>
              </w:rPr>
              <w:t>信息分析与评价</w:t>
            </w:r>
          </w:p>
          <w:p w14:paraId="702D05D5"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第五章</w:t>
            </w:r>
            <w:r>
              <w:rPr>
                <w:rFonts w:ascii="Times New Roman" w:eastAsia="仿宋_GB2312" w:hAnsi="Times New Roman" w:cs="Times New Roman"/>
                <w:bCs/>
              </w:rPr>
              <w:t xml:space="preserve"> </w:t>
            </w:r>
            <w:r>
              <w:rPr>
                <w:rFonts w:ascii="Times New Roman" w:eastAsia="仿宋_GB2312" w:hAnsi="Times New Roman" w:cs="Times New Roman"/>
                <w:bCs/>
              </w:rPr>
              <w:t>信息组织与管理工</w:t>
            </w:r>
            <w:r>
              <w:rPr>
                <w:rFonts w:ascii="Times New Roman" w:eastAsia="仿宋_GB2312" w:hAnsi="Times New Roman" w:cs="Times New Roman"/>
                <w:bCs/>
              </w:rPr>
              <w:lastRenderedPageBreak/>
              <w:t>具之入门</w:t>
            </w:r>
          </w:p>
          <w:p w14:paraId="0A45A428"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第六章</w:t>
            </w:r>
            <w:r>
              <w:rPr>
                <w:rFonts w:ascii="Times New Roman" w:eastAsia="仿宋_GB2312" w:hAnsi="Times New Roman" w:cs="Times New Roman"/>
                <w:bCs/>
              </w:rPr>
              <w:t xml:space="preserve"> </w:t>
            </w:r>
            <w:r>
              <w:rPr>
                <w:rFonts w:ascii="Times New Roman" w:eastAsia="仿宋_GB2312" w:hAnsi="Times New Roman" w:cs="Times New Roman"/>
                <w:bCs/>
              </w:rPr>
              <w:t>信息组织与管理工具之进阶</w:t>
            </w:r>
          </w:p>
          <w:p w14:paraId="2CB75C0A"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第七章</w:t>
            </w:r>
            <w:r>
              <w:rPr>
                <w:rFonts w:ascii="Times New Roman" w:eastAsia="仿宋_GB2312" w:hAnsi="Times New Roman" w:cs="Times New Roman"/>
                <w:bCs/>
              </w:rPr>
              <w:t xml:space="preserve"> </w:t>
            </w:r>
            <w:r>
              <w:rPr>
                <w:rFonts w:ascii="Times New Roman" w:eastAsia="仿宋_GB2312" w:hAnsi="Times New Roman" w:cs="Times New Roman"/>
                <w:bCs/>
              </w:rPr>
              <w:t>常用科研资源检索方法与途径</w:t>
            </w:r>
          </w:p>
          <w:p w14:paraId="1152A661"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第八章</w:t>
            </w:r>
            <w:r>
              <w:rPr>
                <w:rFonts w:ascii="Times New Roman" w:eastAsia="仿宋_GB2312" w:hAnsi="Times New Roman" w:cs="Times New Roman"/>
                <w:bCs/>
              </w:rPr>
              <w:t xml:space="preserve"> </w:t>
            </w:r>
            <w:r>
              <w:rPr>
                <w:rFonts w:ascii="Times New Roman" w:eastAsia="仿宋_GB2312" w:hAnsi="Times New Roman" w:cs="Times New Roman"/>
                <w:bCs/>
              </w:rPr>
              <w:t>开放获取资源检索方法与途径</w:t>
            </w:r>
          </w:p>
          <w:p w14:paraId="2AC59A4D"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第九章</w:t>
            </w:r>
            <w:r>
              <w:rPr>
                <w:rFonts w:ascii="Times New Roman" w:eastAsia="仿宋_GB2312" w:hAnsi="Times New Roman" w:cs="Times New Roman"/>
                <w:bCs/>
              </w:rPr>
              <w:t xml:space="preserve"> </w:t>
            </w:r>
            <w:r>
              <w:rPr>
                <w:rFonts w:ascii="Times New Roman" w:eastAsia="仿宋_GB2312" w:hAnsi="Times New Roman" w:cs="Times New Roman"/>
                <w:bCs/>
              </w:rPr>
              <w:t>知识产权信息与检索</w:t>
            </w:r>
          </w:p>
          <w:p w14:paraId="79BD4540" w14:textId="77777777" w:rsidR="00AB51C8" w:rsidRDefault="00000000">
            <w:pPr>
              <w:pStyle w:val="15"/>
              <w:adjustRightInd w:val="0"/>
              <w:snapToGrid w:val="0"/>
              <w:ind w:firstLineChars="0" w:firstLine="0"/>
              <w:jc w:val="both"/>
              <w:rPr>
                <w:rFonts w:ascii="Times New Roman" w:eastAsia="仿宋_GB2312" w:hAnsi="Times New Roman" w:cs="Times New Roman"/>
                <w:bCs/>
              </w:rPr>
            </w:pPr>
            <w:r>
              <w:rPr>
                <w:rFonts w:ascii="Times New Roman" w:eastAsia="仿宋_GB2312" w:hAnsi="Times New Roman" w:cs="Times New Roman"/>
                <w:bCs/>
              </w:rPr>
              <w:t>第十章</w:t>
            </w:r>
            <w:r>
              <w:rPr>
                <w:rFonts w:ascii="Times New Roman" w:eastAsia="仿宋_GB2312" w:hAnsi="Times New Roman" w:cs="Times New Roman"/>
                <w:bCs/>
              </w:rPr>
              <w:t xml:space="preserve"> </w:t>
            </w:r>
            <w:r>
              <w:rPr>
                <w:rFonts w:ascii="Times New Roman" w:eastAsia="仿宋_GB2312" w:hAnsi="Times New Roman" w:cs="Times New Roman"/>
                <w:bCs/>
              </w:rPr>
              <w:t>信息有效获取与合理利用</w:t>
            </w:r>
          </w:p>
        </w:tc>
      </w:tr>
    </w:tbl>
    <w:p w14:paraId="173E136D" w14:textId="77777777" w:rsidR="00AB51C8" w:rsidRDefault="00000000">
      <w:pPr>
        <w:pStyle w:val="21"/>
        <w:spacing w:line="560" w:lineRule="exact"/>
        <w:ind w:firstLineChars="200" w:firstLine="640"/>
        <w:rPr>
          <w:rFonts w:ascii="楷体_GB2312" w:eastAsia="楷体_GB2312"/>
          <w:sz w:val="32"/>
          <w:szCs w:val="32"/>
        </w:rPr>
      </w:pPr>
      <w:bookmarkStart w:id="20" w:name="_Toc101773641"/>
      <w:r>
        <w:rPr>
          <w:rFonts w:ascii="楷体_GB2312" w:eastAsia="楷体_GB2312" w:hint="eastAsia"/>
          <w:sz w:val="32"/>
          <w:szCs w:val="32"/>
        </w:rPr>
        <w:lastRenderedPageBreak/>
        <w:t>（二）导师选拔培训</w:t>
      </w:r>
      <w:bookmarkEnd w:id="20"/>
    </w:p>
    <w:p w14:paraId="437C0BCC"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为提升研究生导师工作水平、营造和谐师生关系，落实《研究生导师指导行为准则》文件精神，发挥导师在研究生</w:t>
      </w:r>
      <w:proofErr w:type="gramStart"/>
      <w:r>
        <w:rPr>
          <w:rFonts w:eastAsia="仿宋_GB2312" w:cs="Times New Roman"/>
          <w:sz w:val="32"/>
          <w:szCs w:val="32"/>
        </w:rPr>
        <w:t>思政教育</w:t>
      </w:r>
      <w:proofErr w:type="gramEnd"/>
      <w:r>
        <w:rPr>
          <w:rFonts w:eastAsia="仿宋_GB2312" w:cs="Times New Roman"/>
          <w:sz w:val="32"/>
          <w:szCs w:val="32"/>
        </w:rPr>
        <w:t>中</w:t>
      </w:r>
      <w:r>
        <w:rPr>
          <w:rFonts w:eastAsia="仿宋_GB2312" w:cs="Times New Roman"/>
          <w:sz w:val="32"/>
          <w:szCs w:val="32"/>
        </w:rPr>
        <w:t>“</w:t>
      </w:r>
      <w:r>
        <w:rPr>
          <w:rFonts w:eastAsia="仿宋_GB2312" w:cs="Times New Roman"/>
          <w:sz w:val="32"/>
          <w:szCs w:val="32"/>
        </w:rPr>
        <w:t>第一责任人</w:t>
      </w:r>
      <w:r>
        <w:rPr>
          <w:rFonts w:eastAsia="仿宋_GB2312" w:cs="Times New Roman"/>
          <w:sz w:val="32"/>
          <w:szCs w:val="32"/>
        </w:rPr>
        <w:t>”</w:t>
      </w:r>
      <w:r>
        <w:rPr>
          <w:rFonts w:eastAsia="仿宋_GB2312" w:cs="Times New Roman"/>
          <w:sz w:val="32"/>
          <w:szCs w:val="32"/>
        </w:rPr>
        <w:t>的作用方面的成效，本单位制定了《中国环境科学研究院研究生导师工作条例》、《中国环境科学研究院硕士学位论文全过程质量监控管理规定》和《中国环境科学研究院硕士学位授予工作细则》，对导师的遴选进行了严格要求，研究生导师除满足职称、文章成果、承担项目经费等要求外，需要按时参加我院定期组织的研究生导师培训和招生资格年审工作；同时对研究生学位论文的开题、中期、预答辩、答辩，以及学位论文要求和发表论文过程中导师职责做出详尽规定。</w:t>
      </w:r>
    </w:p>
    <w:p w14:paraId="08DD6ABA" w14:textId="77777777" w:rsidR="00AB51C8" w:rsidRDefault="00000000">
      <w:pPr>
        <w:pStyle w:val="21"/>
        <w:spacing w:line="560" w:lineRule="exact"/>
        <w:ind w:firstLineChars="200" w:firstLine="640"/>
        <w:rPr>
          <w:rFonts w:ascii="楷体_GB2312" w:eastAsia="楷体_GB2312"/>
          <w:sz w:val="32"/>
          <w:szCs w:val="32"/>
        </w:rPr>
      </w:pPr>
      <w:bookmarkStart w:id="21" w:name="_Toc101773642"/>
      <w:r>
        <w:rPr>
          <w:rFonts w:ascii="楷体_GB2312" w:eastAsia="楷体_GB2312" w:hint="eastAsia"/>
          <w:sz w:val="32"/>
          <w:szCs w:val="32"/>
        </w:rPr>
        <w:t>（三）师德师风建设情况</w:t>
      </w:r>
      <w:bookmarkEnd w:id="21"/>
    </w:p>
    <w:p w14:paraId="31541E5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本学科授权点定期开展的师德师风建设活动，规范了教师行为，增强了教师的法律意识和责任意识，职业道德规范深入</w:t>
      </w:r>
      <w:r>
        <w:rPr>
          <w:rFonts w:eastAsia="仿宋_GB2312" w:cs="Times New Roman"/>
          <w:sz w:val="32"/>
          <w:szCs w:val="32"/>
        </w:rPr>
        <w:lastRenderedPageBreak/>
        <w:t>人心，做到了真正让师德师风建设工作取得实际成效。中国环境科学研究院的教师在科研方面严守学术道德底线，在师德师风方面严格遵循要求，未出现任何学术不端行为，师德师风建设长效机制初步形成。</w:t>
      </w:r>
      <w:r>
        <w:rPr>
          <w:rFonts w:eastAsia="仿宋_GB2312" w:cs="Times New Roman"/>
          <w:sz w:val="32"/>
          <w:szCs w:val="32"/>
        </w:rPr>
        <w:t>2020-2021</w:t>
      </w:r>
      <w:r>
        <w:rPr>
          <w:rFonts w:eastAsia="仿宋_GB2312" w:cs="Times New Roman"/>
          <w:sz w:val="32"/>
          <w:szCs w:val="32"/>
        </w:rPr>
        <w:t>年间，本学位点在师德教育、宣传、考核、监督、奖励等方面均有一定进展，包括：</w:t>
      </w:r>
    </w:p>
    <w:p w14:paraId="031CAF00"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第一，建立学习制度。推进理论学习系统化、经常化，增进对中国特色社会主义认识和理解。</w:t>
      </w:r>
    </w:p>
    <w:p w14:paraId="7E7239BC"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第二，建立激励机制。建立考核评价体系。严格导师考核评价，落实师德第一标准，在职称评审、人才推荐、评优评先、年度考核、干部选任等方面，严把政治关和师德关。</w:t>
      </w:r>
    </w:p>
    <w:p w14:paraId="7F1DDDFA"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第三，建立监督机制。建立师德投诉举报平台，充分发挥民主监督、社会舆论监督的作用。</w:t>
      </w:r>
    </w:p>
    <w:p w14:paraId="37D9BA54"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第四，建立惩戒机制。全面贯彻落实《中华人民共和国教师法》《新时代高校教师职业行为十项准则》《教育部关于高校教师师德失范行为处理的指导意见》等系列文件精神。</w:t>
      </w:r>
    </w:p>
    <w:p w14:paraId="36CE01C2"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第五，建立责任机制。建立健全责任落实机制。落实导师队伍建设各项要求，支持师德师风建设，加强工作支撑，提高师德师风建设工作的科学性、实效性。</w:t>
      </w:r>
    </w:p>
    <w:p w14:paraId="18262FC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使得教师树立终身学习的思想并保证教学工作的顺利开展，本学位点积极开始对教师的培训教育，在思想建设方面开展党史学习、师风师德学习等培训，在教学技能方面进行学生培养方法等分想，在教学工作流程方面开展自命题培训、</w:t>
      </w:r>
      <w:proofErr w:type="gramStart"/>
      <w:r>
        <w:rPr>
          <w:rFonts w:eastAsia="仿宋_GB2312" w:cs="Times New Roman"/>
          <w:sz w:val="32"/>
          <w:szCs w:val="32"/>
        </w:rPr>
        <w:t>四六</w:t>
      </w:r>
      <w:proofErr w:type="gramEnd"/>
      <w:r>
        <w:rPr>
          <w:rFonts w:eastAsia="仿宋_GB2312" w:cs="Times New Roman"/>
          <w:sz w:val="32"/>
          <w:szCs w:val="32"/>
        </w:rPr>
        <w:lastRenderedPageBreak/>
        <w:t>级考</w:t>
      </w:r>
      <w:proofErr w:type="gramStart"/>
      <w:r>
        <w:rPr>
          <w:rFonts w:eastAsia="仿宋_GB2312" w:cs="Times New Roman"/>
          <w:sz w:val="32"/>
          <w:szCs w:val="32"/>
        </w:rPr>
        <w:t>务</w:t>
      </w:r>
      <w:proofErr w:type="gramEnd"/>
      <w:r>
        <w:rPr>
          <w:rFonts w:eastAsia="仿宋_GB2312" w:cs="Times New Roman"/>
          <w:sz w:val="32"/>
          <w:szCs w:val="32"/>
        </w:rPr>
        <w:t>培训等，将终身学习的理念由教师传递给学生。考察期</w:t>
      </w:r>
      <w:proofErr w:type="gramStart"/>
      <w:r>
        <w:rPr>
          <w:rFonts w:eastAsia="仿宋_GB2312" w:cs="Times New Roman"/>
          <w:sz w:val="32"/>
          <w:szCs w:val="32"/>
        </w:rPr>
        <w:t>内教师</w:t>
      </w:r>
      <w:proofErr w:type="gramEnd"/>
      <w:r>
        <w:rPr>
          <w:rFonts w:eastAsia="仿宋_GB2312" w:cs="Times New Roman"/>
          <w:sz w:val="32"/>
          <w:szCs w:val="32"/>
        </w:rPr>
        <w:t>培训情况见</w:t>
      </w:r>
      <w:r>
        <w:rPr>
          <w:rFonts w:eastAsia="仿宋_GB2312" w:cs="Times New Roman"/>
          <w:sz w:val="32"/>
          <w:szCs w:val="32"/>
        </w:rPr>
        <w:fldChar w:fldCharType="begin"/>
      </w:r>
      <w:r>
        <w:rPr>
          <w:rFonts w:eastAsia="仿宋_GB2312" w:cs="Times New Roman"/>
          <w:sz w:val="32"/>
          <w:szCs w:val="32"/>
        </w:rPr>
        <w:instrText xml:space="preserve"> REF _Ref101767592 \h  \* MERGEFORMAT </w:instrText>
      </w:r>
      <w:r>
        <w:rPr>
          <w:rFonts w:eastAsia="仿宋_GB2312" w:cs="Times New Roman"/>
          <w:sz w:val="32"/>
          <w:szCs w:val="32"/>
        </w:rPr>
      </w:r>
      <w:r>
        <w:rPr>
          <w:rFonts w:eastAsia="仿宋_GB2312" w:cs="Times New Roman"/>
          <w:sz w:val="32"/>
          <w:szCs w:val="32"/>
        </w:rPr>
        <w:fldChar w:fldCharType="separate"/>
      </w:r>
      <w:r>
        <w:rPr>
          <w:rFonts w:eastAsia="仿宋_GB2312" w:cs="Times New Roman"/>
          <w:sz w:val="32"/>
          <w:szCs w:val="32"/>
        </w:rPr>
        <w:t>表</w:t>
      </w:r>
      <w:r>
        <w:rPr>
          <w:rFonts w:eastAsia="仿宋_GB2312" w:cs="Times New Roman"/>
          <w:sz w:val="32"/>
          <w:szCs w:val="32"/>
        </w:rPr>
        <w:t xml:space="preserve"> 7</w:t>
      </w:r>
      <w:r>
        <w:rPr>
          <w:rFonts w:eastAsia="仿宋_GB2312" w:cs="Times New Roman"/>
          <w:b/>
          <w:sz w:val="32"/>
          <w:szCs w:val="32"/>
        </w:rPr>
        <w:t xml:space="preserve"> </w:t>
      </w:r>
      <w:r>
        <w:rPr>
          <w:rFonts w:eastAsia="仿宋_GB2312" w:cs="Times New Roman"/>
          <w:sz w:val="32"/>
          <w:szCs w:val="32"/>
        </w:rPr>
        <w:fldChar w:fldCharType="end"/>
      </w:r>
      <w:r>
        <w:rPr>
          <w:rFonts w:eastAsia="仿宋_GB2312" w:cs="Times New Roman"/>
          <w:sz w:val="32"/>
          <w:szCs w:val="32"/>
        </w:rPr>
        <w:t>。</w:t>
      </w:r>
    </w:p>
    <w:p w14:paraId="0C034634" w14:textId="77777777" w:rsidR="00AB51C8" w:rsidRDefault="00000000">
      <w:pPr>
        <w:pStyle w:val="a5"/>
        <w:ind w:firstLine="480"/>
        <w:rPr>
          <w:rFonts w:eastAsia="仿宋_GB2312" w:cs="Times New Roman"/>
          <w:b/>
          <w:sz w:val="28"/>
          <w:szCs w:val="28"/>
        </w:rPr>
      </w:pPr>
      <w:bookmarkStart w:id="22" w:name="_Ref101767592"/>
      <w:r>
        <w:rPr>
          <w:rFonts w:eastAsia="仿宋_GB2312" w:cs="Times New Roman"/>
          <w:b/>
          <w:sz w:val="28"/>
          <w:szCs w:val="28"/>
        </w:rPr>
        <w:t>表</w:t>
      </w:r>
      <w:r>
        <w:rPr>
          <w:rFonts w:eastAsia="仿宋_GB2312" w:cs="Times New Roman"/>
          <w:b/>
          <w:sz w:val="28"/>
          <w:szCs w:val="28"/>
        </w:rPr>
        <w:t xml:space="preserve"> </w:t>
      </w:r>
      <w:r>
        <w:rPr>
          <w:rFonts w:eastAsia="仿宋_GB2312" w:cs="Times New Roman"/>
          <w:b/>
          <w:sz w:val="28"/>
          <w:szCs w:val="28"/>
        </w:rPr>
        <w:fldChar w:fldCharType="begin"/>
      </w:r>
      <w:r>
        <w:rPr>
          <w:rFonts w:eastAsia="仿宋_GB2312" w:cs="Times New Roman"/>
          <w:b/>
          <w:sz w:val="28"/>
          <w:szCs w:val="28"/>
        </w:rPr>
        <w:instrText xml:space="preserve"> SEQ </w:instrText>
      </w:r>
      <w:r>
        <w:rPr>
          <w:rFonts w:eastAsia="仿宋_GB2312" w:cs="Times New Roman"/>
          <w:b/>
          <w:sz w:val="28"/>
          <w:szCs w:val="28"/>
        </w:rPr>
        <w:instrText>表</w:instrText>
      </w:r>
      <w:r>
        <w:rPr>
          <w:rFonts w:eastAsia="仿宋_GB2312" w:cs="Times New Roman"/>
          <w:b/>
          <w:sz w:val="28"/>
          <w:szCs w:val="28"/>
        </w:rPr>
        <w:instrText xml:space="preserve"> \* ARABIC </w:instrText>
      </w:r>
      <w:r>
        <w:rPr>
          <w:rFonts w:eastAsia="仿宋_GB2312" w:cs="Times New Roman"/>
          <w:b/>
          <w:sz w:val="28"/>
          <w:szCs w:val="28"/>
        </w:rPr>
        <w:fldChar w:fldCharType="separate"/>
      </w:r>
      <w:r>
        <w:rPr>
          <w:rFonts w:eastAsia="仿宋_GB2312" w:cs="Times New Roman"/>
          <w:b/>
          <w:sz w:val="28"/>
          <w:szCs w:val="28"/>
        </w:rPr>
        <w:t>7</w:t>
      </w:r>
      <w:r>
        <w:rPr>
          <w:rFonts w:eastAsia="仿宋_GB2312" w:cs="Times New Roman"/>
          <w:b/>
          <w:sz w:val="28"/>
          <w:szCs w:val="28"/>
        </w:rPr>
        <w:fldChar w:fldCharType="end"/>
      </w:r>
      <w:r>
        <w:rPr>
          <w:rFonts w:eastAsia="仿宋_GB2312" w:cs="Times New Roman"/>
          <w:b/>
          <w:sz w:val="28"/>
          <w:szCs w:val="28"/>
        </w:rPr>
        <w:t xml:space="preserve"> 2020-2021</w:t>
      </w:r>
      <w:r>
        <w:rPr>
          <w:rFonts w:eastAsia="仿宋_GB2312" w:cs="Times New Roman"/>
          <w:b/>
          <w:sz w:val="28"/>
          <w:szCs w:val="28"/>
        </w:rPr>
        <w:t>年学位点导师培训汇总</w:t>
      </w:r>
      <w:bookmarkEnd w:id="22"/>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268"/>
        <w:gridCol w:w="1134"/>
        <w:gridCol w:w="1134"/>
        <w:gridCol w:w="2126"/>
        <w:gridCol w:w="1134"/>
      </w:tblGrid>
      <w:tr w:rsidR="00AB51C8" w14:paraId="4B06F6AD" w14:textId="77777777">
        <w:trPr>
          <w:trHeight w:val="90"/>
        </w:trPr>
        <w:tc>
          <w:tcPr>
            <w:tcW w:w="733" w:type="dxa"/>
            <w:vAlign w:val="center"/>
          </w:tcPr>
          <w:p w14:paraId="74A8DDC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序号</w:t>
            </w:r>
          </w:p>
        </w:tc>
        <w:tc>
          <w:tcPr>
            <w:tcW w:w="2268" w:type="dxa"/>
            <w:vAlign w:val="center"/>
          </w:tcPr>
          <w:p w14:paraId="0D501D0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培训主题</w:t>
            </w:r>
          </w:p>
        </w:tc>
        <w:tc>
          <w:tcPr>
            <w:tcW w:w="1134" w:type="dxa"/>
            <w:vAlign w:val="center"/>
          </w:tcPr>
          <w:p w14:paraId="5576E013"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培训时间</w:t>
            </w:r>
          </w:p>
        </w:tc>
        <w:tc>
          <w:tcPr>
            <w:tcW w:w="1134" w:type="dxa"/>
            <w:vAlign w:val="center"/>
          </w:tcPr>
          <w:p w14:paraId="4C7F11C4" w14:textId="77777777" w:rsidR="00AB51C8" w:rsidRDefault="00000000">
            <w:pPr>
              <w:pStyle w:val="15"/>
              <w:adjustRightInd w:val="0"/>
              <w:snapToGrid w:val="0"/>
              <w:ind w:leftChars="-50" w:left="-120" w:rightChars="-50" w:right="-120" w:firstLineChars="0" w:firstLine="0"/>
              <w:jc w:val="center"/>
              <w:rPr>
                <w:rFonts w:ascii="Times New Roman" w:eastAsia="仿宋_GB2312" w:hAnsi="Times New Roman" w:cs="Times New Roman"/>
                <w:bCs/>
              </w:rPr>
            </w:pPr>
            <w:r>
              <w:rPr>
                <w:rFonts w:ascii="Times New Roman" w:eastAsia="仿宋_GB2312" w:hAnsi="Times New Roman" w:cs="Times New Roman"/>
                <w:bCs/>
              </w:rPr>
              <w:t>培训人次</w:t>
            </w:r>
          </w:p>
        </w:tc>
        <w:tc>
          <w:tcPr>
            <w:tcW w:w="2126" w:type="dxa"/>
            <w:vAlign w:val="center"/>
          </w:tcPr>
          <w:p w14:paraId="41D9766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主办单位</w:t>
            </w:r>
          </w:p>
        </w:tc>
        <w:tc>
          <w:tcPr>
            <w:tcW w:w="1134" w:type="dxa"/>
            <w:vAlign w:val="center"/>
          </w:tcPr>
          <w:p w14:paraId="4E9F297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备注</w:t>
            </w:r>
          </w:p>
        </w:tc>
      </w:tr>
      <w:tr w:rsidR="00AB51C8" w14:paraId="50C0CFB0" w14:textId="77777777">
        <w:trPr>
          <w:trHeight w:val="219"/>
        </w:trPr>
        <w:tc>
          <w:tcPr>
            <w:tcW w:w="733" w:type="dxa"/>
            <w:vAlign w:val="center"/>
          </w:tcPr>
          <w:p w14:paraId="65321E0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p>
        </w:tc>
        <w:tc>
          <w:tcPr>
            <w:tcW w:w="2268" w:type="dxa"/>
            <w:vAlign w:val="center"/>
          </w:tcPr>
          <w:p w14:paraId="4EB6711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师德师风</w:t>
            </w:r>
          </w:p>
        </w:tc>
        <w:tc>
          <w:tcPr>
            <w:tcW w:w="1134" w:type="dxa"/>
            <w:vAlign w:val="center"/>
          </w:tcPr>
          <w:p w14:paraId="481E7AC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545990F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0B1C328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53CBE94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2020</w:t>
            </w:r>
            <w:r>
              <w:rPr>
                <w:rFonts w:ascii="Times New Roman" w:eastAsia="仿宋_GB2312" w:hAnsi="Times New Roman" w:cs="Times New Roman"/>
                <w:bCs/>
              </w:rPr>
              <w:t>年</w:t>
            </w:r>
          </w:p>
        </w:tc>
      </w:tr>
      <w:tr w:rsidR="00AB51C8" w14:paraId="44FB9106" w14:textId="77777777">
        <w:trPr>
          <w:trHeight w:val="151"/>
        </w:trPr>
        <w:tc>
          <w:tcPr>
            <w:tcW w:w="733" w:type="dxa"/>
            <w:vAlign w:val="center"/>
          </w:tcPr>
          <w:p w14:paraId="0FEC61B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w:t>
            </w:r>
          </w:p>
        </w:tc>
        <w:tc>
          <w:tcPr>
            <w:tcW w:w="2268" w:type="dxa"/>
            <w:vAlign w:val="center"/>
          </w:tcPr>
          <w:p w14:paraId="7A6C731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学生培养</w:t>
            </w:r>
          </w:p>
        </w:tc>
        <w:tc>
          <w:tcPr>
            <w:tcW w:w="1134" w:type="dxa"/>
            <w:vAlign w:val="center"/>
          </w:tcPr>
          <w:p w14:paraId="2D88A84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6EAD758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0F838B6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448888F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2020</w:t>
            </w:r>
            <w:r>
              <w:rPr>
                <w:rFonts w:ascii="Times New Roman" w:eastAsia="仿宋_GB2312" w:hAnsi="Times New Roman" w:cs="Times New Roman"/>
                <w:bCs/>
              </w:rPr>
              <w:t>年</w:t>
            </w:r>
          </w:p>
        </w:tc>
      </w:tr>
      <w:tr w:rsidR="00AB51C8" w14:paraId="2C930758" w14:textId="77777777">
        <w:trPr>
          <w:trHeight w:val="151"/>
        </w:trPr>
        <w:tc>
          <w:tcPr>
            <w:tcW w:w="733" w:type="dxa"/>
            <w:vAlign w:val="center"/>
          </w:tcPr>
          <w:p w14:paraId="01F7617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3</w:t>
            </w:r>
          </w:p>
        </w:tc>
        <w:tc>
          <w:tcPr>
            <w:tcW w:w="2268" w:type="dxa"/>
            <w:vAlign w:val="center"/>
          </w:tcPr>
          <w:p w14:paraId="0A637E6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党史学习教育培训</w:t>
            </w:r>
          </w:p>
        </w:tc>
        <w:tc>
          <w:tcPr>
            <w:tcW w:w="1134" w:type="dxa"/>
            <w:vAlign w:val="center"/>
          </w:tcPr>
          <w:p w14:paraId="25F523A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48651C7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6A01E046"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6505DA4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2020</w:t>
            </w:r>
            <w:r>
              <w:rPr>
                <w:rFonts w:ascii="Times New Roman" w:eastAsia="仿宋_GB2312" w:hAnsi="Times New Roman" w:cs="Times New Roman"/>
                <w:bCs/>
              </w:rPr>
              <w:t>年</w:t>
            </w:r>
          </w:p>
        </w:tc>
      </w:tr>
      <w:tr w:rsidR="00AB51C8" w14:paraId="4E713E9E" w14:textId="77777777">
        <w:trPr>
          <w:trHeight w:val="151"/>
        </w:trPr>
        <w:tc>
          <w:tcPr>
            <w:tcW w:w="733" w:type="dxa"/>
            <w:vAlign w:val="center"/>
          </w:tcPr>
          <w:p w14:paraId="1F8D8DFE"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4</w:t>
            </w:r>
          </w:p>
        </w:tc>
        <w:tc>
          <w:tcPr>
            <w:tcW w:w="2268" w:type="dxa"/>
            <w:vAlign w:val="center"/>
          </w:tcPr>
          <w:p w14:paraId="148D06A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自命题保密培训</w:t>
            </w:r>
          </w:p>
        </w:tc>
        <w:tc>
          <w:tcPr>
            <w:tcW w:w="1134" w:type="dxa"/>
            <w:vAlign w:val="center"/>
          </w:tcPr>
          <w:p w14:paraId="0144925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3EAF593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25</w:t>
            </w:r>
          </w:p>
        </w:tc>
        <w:tc>
          <w:tcPr>
            <w:tcW w:w="2126" w:type="dxa"/>
            <w:vAlign w:val="center"/>
          </w:tcPr>
          <w:p w14:paraId="67FD861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040EFFA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2020</w:t>
            </w:r>
            <w:r>
              <w:rPr>
                <w:rFonts w:ascii="Times New Roman" w:eastAsia="仿宋_GB2312" w:hAnsi="Times New Roman" w:cs="Times New Roman"/>
                <w:bCs/>
              </w:rPr>
              <w:t>年</w:t>
            </w:r>
          </w:p>
        </w:tc>
      </w:tr>
      <w:tr w:rsidR="00AB51C8" w14:paraId="47AF9C62" w14:textId="77777777">
        <w:trPr>
          <w:trHeight w:val="151"/>
        </w:trPr>
        <w:tc>
          <w:tcPr>
            <w:tcW w:w="733" w:type="dxa"/>
            <w:vAlign w:val="center"/>
          </w:tcPr>
          <w:p w14:paraId="697C14A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5</w:t>
            </w:r>
          </w:p>
        </w:tc>
        <w:tc>
          <w:tcPr>
            <w:tcW w:w="2268" w:type="dxa"/>
            <w:vAlign w:val="center"/>
          </w:tcPr>
          <w:p w14:paraId="5831420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师德师风</w:t>
            </w:r>
          </w:p>
        </w:tc>
        <w:tc>
          <w:tcPr>
            <w:tcW w:w="1134" w:type="dxa"/>
            <w:vAlign w:val="center"/>
          </w:tcPr>
          <w:p w14:paraId="74BEEDF1"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5BBB29D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3641F21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1AF1C217"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r w:rsidR="00AB51C8" w14:paraId="7859F26A" w14:textId="77777777">
        <w:trPr>
          <w:trHeight w:val="151"/>
        </w:trPr>
        <w:tc>
          <w:tcPr>
            <w:tcW w:w="733" w:type="dxa"/>
            <w:vAlign w:val="center"/>
          </w:tcPr>
          <w:p w14:paraId="370F460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6</w:t>
            </w:r>
          </w:p>
        </w:tc>
        <w:tc>
          <w:tcPr>
            <w:tcW w:w="2268" w:type="dxa"/>
            <w:vAlign w:val="center"/>
          </w:tcPr>
          <w:p w14:paraId="5FFD452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学生培养</w:t>
            </w:r>
          </w:p>
        </w:tc>
        <w:tc>
          <w:tcPr>
            <w:tcW w:w="1134" w:type="dxa"/>
            <w:vAlign w:val="center"/>
          </w:tcPr>
          <w:p w14:paraId="1252597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7C3DCB9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69B9537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05C52CF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r w:rsidR="00AB51C8" w14:paraId="2A077B97" w14:textId="77777777">
        <w:trPr>
          <w:trHeight w:val="151"/>
        </w:trPr>
        <w:tc>
          <w:tcPr>
            <w:tcW w:w="733" w:type="dxa"/>
            <w:vAlign w:val="center"/>
          </w:tcPr>
          <w:p w14:paraId="2DB5B6A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7</w:t>
            </w:r>
          </w:p>
        </w:tc>
        <w:tc>
          <w:tcPr>
            <w:tcW w:w="2268" w:type="dxa"/>
            <w:vAlign w:val="center"/>
          </w:tcPr>
          <w:p w14:paraId="2F2E19E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四六</w:t>
            </w:r>
            <w:proofErr w:type="gramEnd"/>
            <w:r>
              <w:rPr>
                <w:rFonts w:ascii="Times New Roman" w:eastAsia="仿宋_GB2312" w:hAnsi="Times New Roman" w:cs="Times New Roman"/>
                <w:bCs/>
              </w:rPr>
              <w:t>级考</w:t>
            </w:r>
            <w:proofErr w:type="gramStart"/>
            <w:r>
              <w:rPr>
                <w:rFonts w:ascii="Times New Roman" w:eastAsia="仿宋_GB2312" w:hAnsi="Times New Roman" w:cs="Times New Roman"/>
                <w:bCs/>
              </w:rPr>
              <w:t>务</w:t>
            </w:r>
            <w:proofErr w:type="gramEnd"/>
            <w:r>
              <w:rPr>
                <w:rFonts w:ascii="Times New Roman" w:eastAsia="仿宋_GB2312" w:hAnsi="Times New Roman" w:cs="Times New Roman"/>
                <w:bCs/>
              </w:rPr>
              <w:t>培训</w:t>
            </w:r>
          </w:p>
        </w:tc>
        <w:tc>
          <w:tcPr>
            <w:tcW w:w="1134" w:type="dxa"/>
            <w:vAlign w:val="center"/>
          </w:tcPr>
          <w:p w14:paraId="16A3E9C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294CB96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w:t>
            </w:r>
          </w:p>
        </w:tc>
        <w:tc>
          <w:tcPr>
            <w:tcW w:w="2126" w:type="dxa"/>
            <w:vAlign w:val="center"/>
          </w:tcPr>
          <w:p w14:paraId="7F72A300"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北京教育考试院</w:t>
            </w:r>
          </w:p>
        </w:tc>
        <w:tc>
          <w:tcPr>
            <w:tcW w:w="1134" w:type="dxa"/>
            <w:vAlign w:val="center"/>
          </w:tcPr>
          <w:p w14:paraId="6BE4225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r w:rsidR="00AB51C8" w14:paraId="257F1D48" w14:textId="77777777">
        <w:trPr>
          <w:trHeight w:val="151"/>
        </w:trPr>
        <w:tc>
          <w:tcPr>
            <w:tcW w:w="733" w:type="dxa"/>
            <w:vAlign w:val="center"/>
          </w:tcPr>
          <w:p w14:paraId="7C1D2B0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8</w:t>
            </w:r>
          </w:p>
        </w:tc>
        <w:tc>
          <w:tcPr>
            <w:tcW w:w="2268" w:type="dxa"/>
            <w:vAlign w:val="center"/>
          </w:tcPr>
          <w:p w14:paraId="06092103"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proofErr w:type="gramStart"/>
            <w:r>
              <w:rPr>
                <w:rFonts w:ascii="Times New Roman" w:eastAsia="仿宋_GB2312" w:hAnsi="Times New Roman" w:cs="Times New Roman"/>
                <w:bCs/>
              </w:rPr>
              <w:t>四六</w:t>
            </w:r>
            <w:proofErr w:type="gramEnd"/>
            <w:r>
              <w:rPr>
                <w:rFonts w:ascii="Times New Roman" w:eastAsia="仿宋_GB2312" w:hAnsi="Times New Roman" w:cs="Times New Roman"/>
                <w:bCs/>
              </w:rPr>
              <w:t>级考</w:t>
            </w:r>
            <w:proofErr w:type="gramStart"/>
            <w:r>
              <w:rPr>
                <w:rFonts w:ascii="Times New Roman" w:eastAsia="仿宋_GB2312" w:hAnsi="Times New Roman" w:cs="Times New Roman"/>
                <w:bCs/>
              </w:rPr>
              <w:t>务</w:t>
            </w:r>
            <w:proofErr w:type="gramEnd"/>
            <w:r>
              <w:rPr>
                <w:rFonts w:ascii="Times New Roman" w:eastAsia="仿宋_GB2312" w:hAnsi="Times New Roman" w:cs="Times New Roman"/>
                <w:bCs/>
              </w:rPr>
              <w:t>内部培训</w:t>
            </w:r>
          </w:p>
        </w:tc>
        <w:tc>
          <w:tcPr>
            <w:tcW w:w="1134" w:type="dxa"/>
            <w:vAlign w:val="center"/>
          </w:tcPr>
          <w:p w14:paraId="274425A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7C65BFB9"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w:t>
            </w:r>
          </w:p>
        </w:tc>
        <w:tc>
          <w:tcPr>
            <w:tcW w:w="2126" w:type="dxa"/>
            <w:vAlign w:val="center"/>
          </w:tcPr>
          <w:p w14:paraId="66791BA8"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4F26FB2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r w:rsidR="00AB51C8" w14:paraId="3A2C54DC" w14:textId="77777777">
        <w:trPr>
          <w:trHeight w:val="151"/>
        </w:trPr>
        <w:tc>
          <w:tcPr>
            <w:tcW w:w="733" w:type="dxa"/>
            <w:vAlign w:val="center"/>
          </w:tcPr>
          <w:p w14:paraId="1893198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9</w:t>
            </w:r>
          </w:p>
        </w:tc>
        <w:tc>
          <w:tcPr>
            <w:tcW w:w="2268" w:type="dxa"/>
            <w:vAlign w:val="center"/>
          </w:tcPr>
          <w:p w14:paraId="5E46A5EF"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自命题保密培训</w:t>
            </w:r>
          </w:p>
        </w:tc>
        <w:tc>
          <w:tcPr>
            <w:tcW w:w="1134" w:type="dxa"/>
            <w:vAlign w:val="center"/>
          </w:tcPr>
          <w:p w14:paraId="57589884"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7CDFDFDC"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25</w:t>
            </w:r>
          </w:p>
        </w:tc>
        <w:tc>
          <w:tcPr>
            <w:tcW w:w="2126" w:type="dxa"/>
            <w:vAlign w:val="center"/>
          </w:tcPr>
          <w:p w14:paraId="339BE7F2"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7F1DED7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r w:rsidR="00AB51C8" w14:paraId="737CDFB3" w14:textId="77777777">
        <w:trPr>
          <w:trHeight w:val="151"/>
        </w:trPr>
        <w:tc>
          <w:tcPr>
            <w:tcW w:w="733" w:type="dxa"/>
            <w:vAlign w:val="center"/>
          </w:tcPr>
          <w:p w14:paraId="51C0595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10</w:t>
            </w:r>
          </w:p>
        </w:tc>
        <w:tc>
          <w:tcPr>
            <w:tcW w:w="2268" w:type="dxa"/>
            <w:vAlign w:val="center"/>
          </w:tcPr>
          <w:p w14:paraId="5B30E54D"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党史学习教育培训</w:t>
            </w:r>
          </w:p>
        </w:tc>
        <w:tc>
          <w:tcPr>
            <w:tcW w:w="1134" w:type="dxa"/>
            <w:vAlign w:val="center"/>
          </w:tcPr>
          <w:p w14:paraId="7DD9B4BA"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天</w:t>
            </w:r>
          </w:p>
        </w:tc>
        <w:tc>
          <w:tcPr>
            <w:tcW w:w="1134" w:type="dxa"/>
            <w:vAlign w:val="center"/>
          </w:tcPr>
          <w:p w14:paraId="23F74A25"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150</w:t>
            </w:r>
          </w:p>
        </w:tc>
        <w:tc>
          <w:tcPr>
            <w:tcW w:w="2126" w:type="dxa"/>
            <w:vAlign w:val="center"/>
          </w:tcPr>
          <w:p w14:paraId="60E4299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中国环境科学研究院</w:t>
            </w:r>
          </w:p>
        </w:tc>
        <w:tc>
          <w:tcPr>
            <w:tcW w:w="1134" w:type="dxa"/>
            <w:vAlign w:val="center"/>
          </w:tcPr>
          <w:p w14:paraId="2C1D1A0B" w14:textId="77777777" w:rsidR="00AB51C8" w:rsidRDefault="00000000">
            <w:pPr>
              <w:pStyle w:val="15"/>
              <w:adjustRightInd w:val="0"/>
              <w:snapToGrid w:val="0"/>
              <w:ind w:firstLineChars="0" w:firstLine="0"/>
              <w:jc w:val="center"/>
              <w:rPr>
                <w:rFonts w:ascii="Times New Roman" w:eastAsia="仿宋_GB2312" w:hAnsi="Times New Roman" w:cs="Times New Roman"/>
                <w:bCs/>
              </w:rPr>
            </w:pPr>
            <w:r>
              <w:rPr>
                <w:rFonts w:ascii="Times New Roman" w:eastAsia="仿宋_GB2312" w:hAnsi="Times New Roman" w:cs="Times New Roman"/>
                <w:bCs/>
              </w:rPr>
              <w:t>2021</w:t>
            </w:r>
            <w:r>
              <w:rPr>
                <w:rFonts w:ascii="Times New Roman" w:eastAsia="仿宋_GB2312" w:hAnsi="Times New Roman" w:cs="Times New Roman"/>
                <w:bCs/>
              </w:rPr>
              <w:t>年</w:t>
            </w:r>
          </w:p>
        </w:tc>
      </w:tr>
    </w:tbl>
    <w:p w14:paraId="189ECFB7" w14:textId="77777777" w:rsidR="00AB51C8" w:rsidRDefault="00000000">
      <w:pPr>
        <w:pStyle w:val="21"/>
        <w:spacing w:line="560" w:lineRule="exact"/>
        <w:ind w:firstLineChars="200" w:firstLine="640"/>
        <w:rPr>
          <w:rFonts w:ascii="楷体_GB2312" w:eastAsia="楷体_GB2312"/>
          <w:sz w:val="32"/>
          <w:szCs w:val="32"/>
        </w:rPr>
      </w:pPr>
      <w:bookmarkStart w:id="23" w:name="_Toc101773643"/>
      <w:r>
        <w:rPr>
          <w:rFonts w:ascii="楷体_GB2312" w:eastAsia="楷体_GB2312" w:hint="eastAsia"/>
          <w:sz w:val="32"/>
          <w:szCs w:val="32"/>
        </w:rPr>
        <w:t>（四）学术交流情况</w:t>
      </w:r>
      <w:bookmarkEnd w:id="23"/>
    </w:p>
    <w:p w14:paraId="1F93525C"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本学位点学生积极参与学术论坛及学术会议，在中国环境科学学会</w:t>
      </w:r>
      <w:r>
        <w:rPr>
          <w:rFonts w:eastAsia="仿宋_GB2312" w:cs="Times New Roman"/>
          <w:sz w:val="32"/>
          <w:szCs w:val="32"/>
        </w:rPr>
        <w:t>2021</w:t>
      </w:r>
      <w:r>
        <w:rPr>
          <w:rFonts w:eastAsia="仿宋_GB2312" w:cs="Times New Roman"/>
          <w:sz w:val="32"/>
          <w:szCs w:val="32"/>
        </w:rPr>
        <w:t>年科学技术年会、中英能源与气候变化经济学论坛、中国能源环境与气候变化经济学者论坛等活动中积极交流，</w:t>
      </w:r>
      <w:r>
        <w:rPr>
          <w:rFonts w:eastAsia="仿宋_GB2312" w:cs="Times New Roman"/>
          <w:sz w:val="32"/>
          <w:szCs w:val="32"/>
        </w:rPr>
        <w:lastRenderedPageBreak/>
        <w:t>了解领域前沿动态，扩展研究视野。</w:t>
      </w:r>
    </w:p>
    <w:p w14:paraId="71CB53B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为营造良好学术氛围，积极推荐学生参加院、所组织的学术活动，邀请外单位专家和本学科导师主讲系列学术报告，聚焦学业，培养学生的学术思维和科研头脑。</w:t>
      </w:r>
    </w:p>
    <w:p w14:paraId="2057411D" w14:textId="77777777" w:rsidR="00AB51C8" w:rsidRDefault="00000000">
      <w:pPr>
        <w:pStyle w:val="21"/>
        <w:spacing w:line="560" w:lineRule="exact"/>
        <w:ind w:firstLineChars="200" w:firstLine="640"/>
        <w:rPr>
          <w:rFonts w:ascii="楷体_GB2312" w:eastAsia="楷体_GB2312"/>
          <w:sz w:val="32"/>
          <w:szCs w:val="32"/>
        </w:rPr>
      </w:pPr>
      <w:bookmarkStart w:id="24" w:name="_Toc101773644"/>
      <w:r>
        <w:rPr>
          <w:rFonts w:ascii="楷体_GB2312" w:eastAsia="楷体_GB2312" w:hint="eastAsia"/>
          <w:sz w:val="32"/>
          <w:szCs w:val="32"/>
        </w:rPr>
        <w:t>（五）研究生奖助情况</w:t>
      </w:r>
      <w:bookmarkEnd w:id="24"/>
    </w:p>
    <w:p w14:paraId="4E69C0D6"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为树立学生典范，激励研究生创新进取，表扬成绩优异、成果突出的研究生，本学位授权点形成了</w:t>
      </w:r>
      <w:r>
        <w:rPr>
          <w:rFonts w:eastAsia="仿宋_GB2312" w:cs="Times New Roman"/>
          <w:sz w:val="32"/>
          <w:szCs w:val="32"/>
        </w:rPr>
        <w:t>“</w:t>
      </w:r>
      <w:r>
        <w:rPr>
          <w:rFonts w:eastAsia="仿宋_GB2312" w:cs="Times New Roman"/>
          <w:sz w:val="32"/>
          <w:szCs w:val="32"/>
        </w:rPr>
        <w:t>奖优、助困、酬劳</w:t>
      </w:r>
      <w:r>
        <w:rPr>
          <w:rFonts w:eastAsia="仿宋_GB2312" w:cs="Times New Roman"/>
          <w:sz w:val="32"/>
          <w:szCs w:val="32"/>
        </w:rPr>
        <w:t>”</w:t>
      </w:r>
      <w:r>
        <w:rPr>
          <w:rFonts w:eastAsia="仿宋_GB2312" w:cs="Times New Roman"/>
          <w:sz w:val="32"/>
          <w:szCs w:val="32"/>
        </w:rPr>
        <w:t>研究生奖助学金体系，包括：</w:t>
      </w:r>
    </w:p>
    <w:p w14:paraId="4A17C0A3"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）院长奖学金</w:t>
      </w:r>
    </w:p>
    <w:p w14:paraId="0C46007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为树立学生典范，激励研究生创新进取，表扬成绩优异、成果突出的研究生，特设立院长奖学金。院长奖学金设立特等、</w:t>
      </w:r>
      <w:proofErr w:type="gramStart"/>
      <w:r>
        <w:rPr>
          <w:rFonts w:eastAsia="仿宋_GB2312" w:cs="Times New Roman"/>
          <w:sz w:val="32"/>
          <w:szCs w:val="32"/>
        </w:rPr>
        <w:t>一等和</w:t>
      </w:r>
      <w:proofErr w:type="gramEnd"/>
      <w:r>
        <w:rPr>
          <w:rFonts w:eastAsia="仿宋_GB2312" w:cs="Times New Roman"/>
          <w:sz w:val="32"/>
          <w:szCs w:val="32"/>
        </w:rPr>
        <w:t>二等共三个奖项，金额为</w:t>
      </w:r>
      <w:r>
        <w:rPr>
          <w:rFonts w:eastAsia="仿宋_GB2312" w:cs="Times New Roman"/>
          <w:sz w:val="32"/>
          <w:szCs w:val="32"/>
        </w:rPr>
        <w:t>0.8-5</w:t>
      </w:r>
      <w:r>
        <w:rPr>
          <w:rFonts w:eastAsia="仿宋_GB2312" w:cs="Times New Roman"/>
          <w:sz w:val="32"/>
          <w:szCs w:val="32"/>
        </w:rPr>
        <w:t>万</w:t>
      </w:r>
      <w:r>
        <w:rPr>
          <w:rFonts w:eastAsia="仿宋_GB2312" w:cs="Times New Roman"/>
          <w:sz w:val="32"/>
          <w:szCs w:val="32"/>
        </w:rPr>
        <w:t>/</w:t>
      </w:r>
      <w:r>
        <w:rPr>
          <w:rFonts w:eastAsia="仿宋_GB2312" w:cs="Times New Roman"/>
          <w:sz w:val="32"/>
          <w:szCs w:val="32"/>
        </w:rPr>
        <w:t>人。</w:t>
      </w:r>
    </w:p>
    <w:p w14:paraId="748C8123"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）学业奖学金</w:t>
      </w:r>
    </w:p>
    <w:p w14:paraId="4D43067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为激励研究生夯实基础知识、奖励在理论课程学习中成绩优异的研究生，设立一等、二等和三等学业奖学金，金额为</w:t>
      </w:r>
      <w:r>
        <w:rPr>
          <w:rFonts w:eastAsia="仿宋_GB2312" w:cs="Times New Roman"/>
          <w:sz w:val="32"/>
          <w:szCs w:val="32"/>
        </w:rPr>
        <w:t>0.6-1.0</w:t>
      </w:r>
      <w:r>
        <w:rPr>
          <w:rFonts w:eastAsia="仿宋_GB2312" w:cs="Times New Roman"/>
          <w:sz w:val="32"/>
          <w:szCs w:val="32"/>
        </w:rPr>
        <w:t>万元</w:t>
      </w:r>
      <w:r>
        <w:rPr>
          <w:rFonts w:eastAsia="仿宋_GB2312" w:cs="Times New Roman"/>
          <w:sz w:val="32"/>
          <w:szCs w:val="32"/>
        </w:rPr>
        <w:t>/</w:t>
      </w:r>
      <w:r>
        <w:rPr>
          <w:rFonts w:eastAsia="仿宋_GB2312" w:cs="Times New Roman"/>
          <w:sz w:val="32"/>
          <w:szCs w:val="32"/>
        </w:rPr>
        <w:t>人。在考察期间（</w:t>
      </w:r>
      <w:r>
        <w:rPr>
          <w:rFonts w:eastAsia="仿宋_GB2312" w:cs="Times New Roman"/>
          <w:sz w:val="32"/>
          <w:szCs w:val="32"/>
        </w:rPr>
        <w:t>2020-2021</w:t>
      </w:r>
      <w:r>
        <w:rPr>
          <w:rFonts w:eastAsia="仿宋_GB2312" w:cs="Times New Roman"/>
          <w:sz w:val="32"/>
          <w:szCs w:val="32"/>
        </w:rPr>
        <w:t>年）内，</w:t>
      </w:r>
      <w:r>
        <w:rPr>
          <w:rFonts w:eastAsia="仿宋_GB2312" w:cs="Times New Roman"/>
          <w:sz w:val="32"/>
          <w:szCs w:val="32"/>
        </w:rPr>
        <w:t>7</w:t>
      </w:r>
      <w:r>
        <w:rPr>
          <w:rFonts w:eastAsia="仿宋_GB2312" w:cs="Times New Roman"/>
          <w:sz w:val="32"/>
          <w:szCs w:val="32"/>
        </w:rPr>
        <w:t>名研究生共获得学业奖学金</w:t>
      </w:r>
      <w:r>
        <w:rPr>
          <w:rFonts w:eastAsia="仿宋_GB2312" w:cs="Times New Roman"/>
          <w:sz w:val="32"/>
          <w:szCs w:val="32"/>
        </w:rPr>
        <w:t>5.4</w:t>
      </w:r>
      <w:r>
        <w:rPr>
          <w:rFonts w:eastAsia="仿宋_GB2312" w:cs="Times New Roman"/>
          <w:sz w:val="32"/>
          <w:szCs w:val="32"/>
        </w:rPr>
        <w:t>万，得到奖励学生人数占当届学生人数</w:t>
      </w:r>
      <w:r>
        <w:rPr>
          <w:rFonts w:eastAsia="仿宋_GB2312" w:cs="Times New Roman"/>
          <w:sz w:val="32"/>
          <w:szCs w:val="32"/>
        </w:rPr>
        <w:t>100%</w:t>
      </w:r>
      <w:r>
        <w:rPr>
          <w:rFonts w:eastAsia="仿宋_GB2312" w:cs="Times New Roman"/>
          <w:sz w:val="32"/>
          <w:szCs w:val="32"/>
        </w:rPr>
        <w:t>。</w:t>
      </w:r>
    </w:p>
    <w:p w14:paraId="1F5CBD1B"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）优秀学位论文奖学金</w:t>
      </w:r>
    </w:p>
    <w:p w14:paraId="43CF8A8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为激励研究生从事科学研究等积极性和科学创新精神，鼓励学生高质量完成学位论文，对获得优秀学位论文的学生，颁发中国环境科学研究院优秀学位论文获奖证书及奖金，奖励标</w:t>
      </w:r>
      <w:r>
        <w:rPr>
          <w:rFonts w:eastAsia="仿宋_GB2312" w:cs="Times New Roman"/>
          <w:sz w:val="32"/>
          <w:szCs w:val="32"/>
        </w:rPr>
        <w:lastRenderedPageBreak/>
        <w:t>准为</w:t>
      </w:r>
      <w:r>
        <w:rPr>
          <w:rFonts w:eastAsia="仿宋_GB2312" w:cs="Times New Roman"/>
          <w:sz w:val="32"/>
          <w:szCs w:val="32"/>
        </w:rPr>
        <w:t>1</w:t>
      </w:r>
      <w:r>
        <w:rPr>
          <w:rFonts w:eastAsia="仿宋_GB2312" w:cs="Times New Roman"/>
          <w:sz w:val="32"/>
          <w:szCs w:val="32"/>
        </w:rPr>
        <w:t>万元</w:t>
      </w:r>
      <w:r>
        <w:rPr>
          <w:rFonts w:eastAsia="仿宋_GB2312" w:cs="Times New Roman"/>
          <w:sz w:val="32"/>
          <w:szCs w:val="32"/>
        </w:rPr>
        <w:t>/</w:t>
      </w:r>
      <w:r>
        <w:rPr>
          <w:rFonts w:eastAsia="仿宋_GB2312" w:cs="Times New Roman"/>
          <w:sz w:val="32"/>
          <w:szCs w:val="32"/>
        </w:rPr>
        <w:t>人。</w:t>
      </w:r>
    </w:p>
    <w:p w14:paraId="0C022F18"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同时，本学位点对研究生学费全部减免，同时规定导师给予在读硕士研究生的补助不得低于</w:t>
      </w:r>
      <w:r>
        <w:rPr>
          <w:rFonts w:eastAsia="仿宋_GB2312" w:cs="Times New Roman"/>
          <w:sz w:val="32"/>
          <w:szCs w:val="32"/>
        </w:rPr>
        <w:t>1000</w:t>
      </w:r>
      <w:r>
        <w:rPr>
          <w:rFonts w:eastAsia="仿宋_GB2312" w:cs="Times New Roman"/>
          <w:sz w:val="32"/>
          <w:szCs w:val="32"/>
        </w:rPr>
        <w:t>元</w:t>
      </w:r>
      <w:r>
        <w:rPr>
          <w:rFonts w:eastAsia="仿宋_GB2312" w:cs="Times New Roman"/>
          <w:sz w:val="32"/>
          <w:szCs w:val="32"/>
        </w:rPr>
        <w:t>/</w:t>
      </w:r>
      <w:r>
        <w:rPr>
          <w:rFonts w:eastAsia="仿宋_GB2312" w:cs="Times New Roman"/>
          <w:sz w:val="32"/>
          <w:szCs w:val="32"/>
        </w:rPr>
        <w:t>月，并将此作为导师考核的基本要求。</w:t>
      </w:r>
    </w:p>
    <w:p w14:paraId="4AD55B39" w14:textId="77777777" w:rsidR="00AB51C8" w:rsidRDefault="00000000">
      <w:pPr>
        <w:pStyle w:val="21"/>
        <w:spacing w:line="560" w:lineRule="exact"/>
        <w:ind w:firstLineChars="200" w:firstLine="640"/>
        <w:rPr>
          <w:rFonts w:ascii="楷体_GB2312" w:eastAsia="楷体_GB2312"/>
          <w:sz w:val="32"/>
          <w:szCs w:val="32"/>
        </w:rPr>
      </w:pPr>
      <w:bookmarkStart w:id="25" w:name="_Toc101773645"/>
      <w:r>
        <w:rPr>
          <w:rFonts w:ascii="楷体_GB2312" w:eastAsia="楷体_GB2312" w:hint="eastAsia"/>
          <w:sz w:val="32"/>
          <w:szCs w:val="32"/>
        </w:rPr>
        <w:t>（六）管理服务支撑</w:t>
      </w:r>
      <w:bookmarkEnd w:id="25"/>
    </w:p>
    <w:p w14:paraId="761979B0"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我院建立了《中国环境科学研究院硕士研究生管理规定》《中国环境科学研究院在校学生婚育管理》等方面的研究生权益保护制度。在中国环境科学研究院层面设立研究生院，研究生院分设学工处、国际交流处、心理健康指导中心、就业指导中心等部门，在招生、培养到留学、就业等环节均有专职管理人员，并配备研究生助理、辅导员等，切实为研究生提供精细化的管理服务，保障研究生权益。</w:t>
      </w:r>
    </w:p>
    <w:p w14:paraId="4A5E48E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本学科所依托院系的专职辅导员总数为</w:t>
      </w:r>
      <w:r>
        <w:rPr>
          <w:rFonts w:eastAsia="仿宋_GB2312" w:cs="Times New Roman"/>
          <w:sz w:val="32"/>
          <w:szCs w:val="32"/>
        </w:rPr>
        <w:t>6</w:t>
      </w:r>
      <w:r>
        <w:rPr>
          <w:rFonts w:eastAsia="仿宋_GB2312" w:cs="Times New Roman"/>
          <w:sz w:val="32"/>
          <w:szCs w:val="32"/>
        </w:rPr>
        <w:t>人，兼职辅导员总数为</w:t>
      </w:r>
      <w:r>
        <w:rPr>
          <w:rFonts w:eastAsia="仿宋_GB2312" w:cs="Times New Roman"/>
          <w:sz w:val="32"/>
          <w:szCs w:val="32"/>
        </w:rPr>
        <w:t>9</w:t>
      </w:r>
      <w:r>
        <w:rPr>
          <w:rFonts w:eastAsia="仿宋_GB2312" w:cs="Times New Roman"/>
          <w:sz w:val="32"/>
          <w:szCs w:val="32"/>
        </w:rPr>
        <w:t>人，专职辅导员管理的学生总数及师生比为</w:t>
      </w:r>
      <w:r>
        <w:rPr>
          <w:rFonts w:eastAsia="仿宋_GB2312" w:cs="Times New Roman"/>
          <w:sz w:val="32"/>
          <w:szCs w:val="32"/>
        </w:rPr>
        <w:t>6:16</w:t>
      </w:r>
      <w:r>
        <w:rPr>
          <w:rFonts w:eastAsia="仿宋_GB2312" w:cs="Times New Roman"/>
          <w:sz w:val="32"/>
          <w:szCs w:val="32"/>
        </w:rPr>
        <w:t>。根据学位论文全过程质量监控管理规定，对研究生开题、中期检查、预答辩、答辩等关键环节进行全程记录，对于评审结果允许学生申诉，保障学生的正当合法权益。根据学位授予工作实施细则等相关制度，保障研究生在符合相关条件的情况</w:t>
      </w:r>
      <w:proofErr w:type="gramStart"/>
      <w:r>
        <w:rPr>
          <w:rFonts w:eastAsia="仿宋_GB2312" w:cs="Times New Roman"/>
          <w:sz w:val="32"/>
          <w:szCs w:val="32"/>
        </w:rPr>
        <w:t>下申请</w:t>
      </w:r>
      <w:proofErr w:type="gramEnd"/>
      <w:r>
        <w:rPr>
          <w:rFonts w:eastAsia="仿宋_GB2312" w:cs="Times New Roman"/>
          <w:sz w:val="32"/>
          <w:szCs w:val="32"/>
        </w:rPr>
        <w:t>学位的权利。</w:t>
      </w:r>
    </w:p>
    <w:p w14:paraId="1E208CD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在</w:t>
      </w:r>
      <w:r>
        <w:rPr>
          <w:rFonts w:eastAsia="仿宋_GB2312" w:cs="Times New Roman"/>
          <w:sz w:val="32"/>
          <w:szCs w:val="32"/>
        </w:rPr>
        <w:t>2022</w:t>
      </w:r>
      <w:r>
        <w:rPr>
          <w:rFonts w:eastAsia="仿宋_GB2312" w:cs="Times New Roman"/>
          <w:sz w:val="32"/>
          <w:szCs w:val="32"/>
        </w:rPr>
        <w:t>年</w:t>
      </w:r>
      <w:r>
        <w:rPr>
          <w:rFonts w:eastAsia="仿宋_GB2312" w:cs="Times New Roman"/>
          <w:sz w:val="32"/>
          <w:szCs w:val="32"/>
        </w:rPr>
        <w:t>1</w:t>
      </w:r>
      <w:r>
        <w:rPr>
          <w:rFonts w:eastAsia="仿宋_GB2312" w:cs="Times New Roman"/>
          <w:sz w:val="32"/>
          <w:szCs w:val="32"/>
        </w:rPr>
        <w:t>月组织的学生对研究生院和导师工作的满意度调查中，</w:t>
      </w:r>
      <w:r>
        <w:rPr>
          <w:rFonts w:eastAsia="仿宋_GB2312" w:cs="Times New Roman"/>
          <w:sz w:val="32"/>
          <w:szCs w:val="32"/>
        </w:rPr>
        <w:t>72.7%</w:t>
      </w:r>
      <w:r>
        <w:rPr>
          <w:rFonts w:eastAsia="仿宋_GB2312" w:cs="Times New Roman"/>
          <w:sz w:val="32"/>
          <w:szCs w:val="32"/>
        </w:rPr>
        <w:t>研究生表示对研究生院工作</w:t>
      </w:r>
      <w:r>
        <w:rPr>
          <w:rFonts w:eastAsia="仿宋_GB2312" w:cs="Times New Roman"/>
          <w:sz w:val="32"/>
          <w:szCs w:val="32"/>
        </w:rPr>
        <w:t>“</w:t>
      </w:r>
      <w:r>
        <w:rPr>
          <w:rFonts w:eastAsia="仿宋_GB2312" w:cs="Times New Roman"/>
          <w:sz w:val="32"/>
          <w:szCs w:val="32"/>
        </w:rPr>
        <w:t>非常满意</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90.9%</w:t>
      </w:r>
      <w:r>
        <w:rPr>
          <w:rFonts w:eastAsia="仿宋_GB2312" w:cs="Times New Roman"/>
          <w:sz w:val="32"/>
          <w:szCs w:val="32"/>
        </w:rPr>
        <w:t>的学生对导师表示</w:t>
      </w:r>
      <w:r>
        <w:rPr>
          <w:rFonts w:eastAsia="仿宋_GB2312" w:cs="Times New Roman"/>
          <w:sz w:val="32"/>
          <w:szCs w:val="32"/>
        </w:rPr>
        <w:t>“</w:t>
      </w:r>
      <w:r>
        <w:rPr>
          <w:rFonts w:eastAsia="仿宋_GB2312" w:cs="Times New Roman"/>
          <w:sz w:val="32"/>
          <w:szCs w:val="32"/>
        </w:rPr>
        <w:t>非常满意</w:t>
      </w:r>
      <w:r>
        <w:rPr>
          <w:rFonts w:eastAsia="仿宋_GB2312" w:cs="Times New Roman"/>
          <w:sz w:val="32"/>
          <w:szCs w:val="32"/>
        </w:rPr>
        <w:t>”</w:t>
      </w:r>
      <w:r>
        <w:rPr>
          <w:rFonts w:eastAsia="仿宋_GB2312" w:cs="Times New Roman"/>
          <w:sz w:val="32"/>
          <w:szCs w:val="32"/>
        </w:rPr>
        <w:t>，均无人选择</w:t>
      </w:r>
      <w:r>
        <w:rPr>
          <w:rFonts w:eastAsia="仿宋_GB2312" w:cs="Times New Roman"/>
          <w:sz w:val="32"/>
          <w:szCs w:val="32"/>
        </w:rPr>
        <w:t>“</w:t>
      </w:r>
      <w:r>
        <w:rPr>
          <w:rFonts w:eastAsia="仿宋_GB2312" w:cs="Times New Roman"/>
          <w:sz w:val="32"/>
          <w:szCs w:val="32"/>
        </w:rPr>
        <w:t>不满意</w:t>
      </w:r>
      <w:r>
        <w:rPr>
          <w:rFonts w:eastAsia="仿宋_GB2312" w:cs="Times New Roman"/>
          <w:sz w:val="32"/>
          <w:szCs w:val="32"/>
        </w:rPr>
        <w:t>”</w:t>
      </w:r>
      <w:r>
        <w:rPr>
          <w:rFonts w:eastAsia="仿宋_GB2312" w:cs="Times New Roman"/>
          <w:sz w:val="32"/>
          <w:szCs w:val="32"/>
        </w:rPr>
        <w:t>。</w:t>
      </w:r>
    </w:p>
    <w:p w14:paraId="61C78DF6" w14:textId="77777777" w:rsidR="00AB51C8" w:rsidRDefault="00000000">
      <w:pPr>
        <w:pStyle w:val="1"/>
        <w:spacing w:line="560" w:lineRule="exact"/>
        <w:ind w:firstLineChars="200" w:firstLine="640"/>
        <w:rPr>
          <w:rFonts w:ascii="黑体" w:hAnsi="黑体" w:cs="Times New Roman"/>
          <w:b w:val="0"/>
          <w:bCs w:val="0"/>
          <w:szCs w:val="32"/>
        </w:rPr>
      </w:pPr>
      <w:bookmarkStart w:id="26" w:name="_Toc101773646"/>
      <w:r>
        <w:rPr>
          <w:rFonts w:ascii="黑体" w:hAnsi="黑体" w:cs="Times New Roman"/>
          <w:b w:val="0"/>
          <w:bCs w:val="0"/>
          <w:szCs w:val="32"/>
        </w:rPr>
        <w:lastRenderedPageBreak/>
        <w:t>四、研究生教育改革情况</w:t>
      </w:r>
      <w:bookmarkEnd w:id="26"/>
    </w:p>
    <w:p w14:paraId="3F9DF441" w14:textId="77777777" w:rsidR="00AB51C8" w:rsidRDefault="00000000">
      <w:pPr>
        <w:pStyle w:val="21"/>
        <w:spacing w:line="560" w:lineRule="exact"/>
        <w:ind w:firstLineChars="200" w:firstLine="640"/>
        <w:rPr>
          <w:rFonts w:ascii="楷体_GB2312" w:eastAsia="楷体_GB2312"/>
          <w:sz w:val="32"/>
          <w:szCs w:val="32"/>
        </w:rPr>
      </w:pPr>
      <w:bookmarkStart w:id="27" w:name="_Toc101773647"/>
      <w:r>
        <w:rPr>
          <w:rFonts w:ascii="楷体_GB2312" w:eastAsia="楷体_GB2312" w:hint="eastAsia"/>
          <w:sz w:val="32"/>
          <w:szCs w:val="32"/>
        </w:rPr>
        <w:t>（一）教师队伍建设</w:t>
      </w:r>
      <w:bookmarkEnd w:id="27"/>
    </w:p>
    <w:p w14:paraId="29B02BF2"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本学科授权</w:t>
      </w:r>
      <w:proofErr w:type="gramStart"/>
      <w:r>
        <w:rPr>
          <w:rFonts w:eastAsia="仿宋_GB2312" w:cs="Times New Roman"/>
          <w:sz w:val="32"/>
          <w:szCs w:val="32"/>
        </w:rPr>
        <w:t>点拥有</w:t>
      </w:r>
      <w:proofErr w:type="gramEnd"/>
      <w:r>
        <w:rPr>
          <w:rFonts w:eastAsia="仿宋_GB2312" w:cs="Times New Roman"/>
          <w:sz w:val="32"/>
          <w:szCs w:val="32"/>
        </w:rPr>
        <w:t>一支老中青结合、专业特色鲜明、富有创新精神的专任师资队伍。现有硕士生导师共</w:t>
      </w:r>
      <w:r>
        <w:rPr>
          <w:rFonts w:eastAsia="仿宋_GB2312" w:cs="Times New Roman"/>
          <w:sz w:val="32"/>
          <w:szCs w:val="32"/>
        </w:rPr>
        <w:t>16</w:t>
      </w:r>
      <w:r>
        <w:rPr>
          <w:rFonts w:eastAsia="仿宋_GB2312" w:cs="Times New Roman"/>
          <w:sz w:val="32"/>
          <w:szCs w:val="32"/>
        </w:rPr>
        <w:t>人，其中中国工程院院士</w:t>
      </w:r>
      <w:r>
        <w:rPr>
          <w:rFonts w:eastAsia="仿宋_GB2312" w:cs="Times New Roman"/>
          <w:sz w:val="32"/>
          <w:szCs w:val="32"/>
        </w:rPr>
        <w:t>1</w:t>
      </w:r>
      <w:r>
        <w:rPr>
          <w:rFonts w:eastAsia="仿宋_GB2312" w:cs="Times New Roman"/>
          <w:sz w:val="32"/>
          <w:szCs w:val="32"/>
        </w:rPr>
        <w:t>名、生态环境部</w:t>
      </w:r>
      <w:r>
        <w:rPr>
          <w:rFonts w:eastAsia="仿宋_GB2312" w:cs="Times New Roman"/>
          <w:sz w:val="32"/>
          <w:szCs w:val="32"/>
        </w:rPr>
        <w:t>“</w:t>
      </w:r>
      <w:r>
        <w:rPr>
          <w:rFonts w:eastAsia="仿宋_GB2312" w:cs="Times New Roman"/>
          <w:sz w:val="32"/>
          <w:szCs w:val="32"/>
        </w:rPr>
        <w:t>环境保护专业技术领军人才</w:t>
      </w:r>
      <w:r>
        <w:rPr>
          <w:rFonts w:eastAsia="仿宋_GB2312" w:cs="Times New Roman"/>
          <w:sz w:val="32"/>
          <w:szCs w:val="32"/>
        </w:rPr>
        <w:t>”1</w:t>
      </w:r>
      <w:r>
        <w:rPr>
          <w:rFonts w:eastAsia="仿宋_GB2312" w:cs="Times New Roman"/>
          <w:sz w:val="32"/>
          <w:szCs w:val="32"/>
        </w:rPr>
        <w:t>名；正高级职称的教师</w:t>
      </w:r>
      <w:r>
        <w:rPr>
          <w:rFonts w:eastAsia="仿宋_GB2312" w:cs="Times New Roman"/>
          <w:sz w:val="32"/>
          <w:szCs w:val="32"/>
        </w:rPr>
        <w:t>11</w:t>
      </w:r>
      <w:r>
        <w:rPr>
          <w:rFonts w:eastAsia="仿宋_GB2312" w:cs="Times New Roman"/>
          <w:sz w:val="32"/>
          <w:szCs w:val="32"/>
        </w:rPr>
        <w:t>人，拥有副高级职称的教师</w:t>
      </w:r>
      <w:r>
        <w:rPr>
          <w:rFonts w:eastAsia="仿宋_GB2312" w:cs="Times New Roman"/>
          <w:sz w:val="32"/>
          <w:szCs w:val="32"/>
        </w:rPr>
        <w:t>5</w:t>
      </w:r>
      <w:r>
        <w:rPr>
          <w:rFonts w:eastAsia="仿宋_GB2312" w:cs="Times New Roman"/>
          <w:sz w:val="32"/>
          <w:szCs w:val="32"/>
        </w:rPr>
        <w:t>人。于</w:t>
      </w:r>
      <w:r>
        <w:rPr>
          <w:rFonts w:eastAsia="仿宋_GB2312" w:cs="Times New Roman"/>
          <w:sz w:val="32"/>
          <w:szCs w:val="32"/>
        </w:rPr>
        <w:t>2021</w:t>
      </w:r>
      <w:r>
        <w:rPr>
          <w:rFonts w:eastAsia="仿宋_GB2312" w:cs="Times New Roman"/>
          <w:sz w:val="32"/>
          <w:szCs w:val="32"/>
        </w:rPr>
        <w:t>年推进环境经济学、环境社会学的交叉研究，设立环境社会学研究室，引进学科带头人一名。</w:t>
      </w:r>
    </w:p>
    <w:p w14:paraId="66929D95" w14:textId="77777777" w:rsidR="00AB51C8" w:rsidRDefault="00000000">
      <w:pPr>
        <w:pStyle w:val="21"/>
        <w:spacing w:line="560" w:lineRule="exact"/>
        <w:ind w:firstLineChars="200" w:firstLine="640"/>
        <w:rPr>
          <w:rFonts w:ascii="楷体_GB2312" w:eastAsia="楷体_GB2312"/>
          <w:sz w:val="32"/>
          <w:szCs w:val="32"/>
        </w:rPr>
      </w:pPr>
      <w:bookmarkStart w:id="28" w:name="_Toc101773648"/>
      <w:r>
        <w:rPr>
          <w:rFonts w:ascii="楷体_GB2312" w:eastAsia="楷体_GB2312" w:hint="eastAsia"/>
          <w:sz w:val="32"/>
          <w:szCs w:val="32"/>
        </w:rPr>
        <w:t>（二）科学研究与资政研究</w:t>
      </w:r>
      <w:bookmarkEnd w:id="28"/>
    </w:p>
    <w:p w14:paraId="21B43F96"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本学科授权点在考察期间发表学术期刊论文</w:t>
      </w:r>
      <w:r>
        <w:rPr>
          <w:rFonts w:eastAsia="仿宋_GB2312" w:cs="Times New Roman"/>
          <w:sz w:val="32"/>
          <w:szCs w:val="32"/>
        </w:rPr>
        <w:t>54</w:t>
      </w:r>
      <w:r>
        <w:rPr>
          <w:rFonts w:eastAsia="仿宋_GB2312" w:cs="Times New Roman"/>
          <w:sz w:val="32"/>
          <w:szCs w:val="32"/>
        </w:rPr>
        <w:t>篇，其中包括</w:t>
      </w:r>
      <w:r>
        <w:rPr>
          <w:rFonts w:eastAsia="仿宋_GB2312" w:cs="Times New Roman"/>
          <w:sz w:val="32"/>
          <w:szCs w:val="32"/>
        </w:rPr>
        <w:t>SCI</w:t>
      </w:r>
      <w:r>
        <w:rPr>
          <w:rFonts w:eastAsia="仿宋_GB2312" w:cs="Times New Roman"/>
          <w:sz w:val="32"/>
          <w:szCs w:val="32"/>
        </w:rPr>
        <w:t>论文、</w:t>
      </w:r>
      <w:r>
        <w:rPr>
          <w:rFonts w:eastAsia="仿宋_GB2312" w:cs="Times New Roman"/>
          <w:sz w:val="32"/>
          <w:szCs w:val="32"/>
        </w:rPr>
        <w:t>EI</w:t>
      </w:r>
      <w:r>
        <w:rPr>
          <w:rFonts w:eastAsia="仿宋_GB2312" w:cs="Times New Roman"/>
          <w:sz w:val="32"/>
          <w:szCs w:val="32"/>
        </w:rPr>
        <w:t>论文、</w:t>
      </w:r>
      <w:r>
        <w:rPr>
          <w:rFonts w:eastAsia="仿宋_GB2312" w:cs="Times New Roman"/>
          <w:sz w:val="32"/>
          <w:szCs w:val="32"/>
        </w:rPr>
        <w:t>CSCD</w:t>
      </w:r>
      <w:r>
        <w:rPr>
          <w:rFonts w:eastAsia="仿宋_GB2312" w:cs="Times New Roman"/>
          <w:sz w:val="32"/>
          <w:szCs w:val="32"/>
        </w:rPr>
        <w:t>论文和中文核心论文。</w:t>
      </w:r>
    </w:p>
    <w:p w14:paraId="1AF82AE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通过《科技专报》、院函等形式，向生态环境部提交</w:t>
      </w:r>
      <w:r>
        <w:rPr>
          <w:rFonts w:eastAsia="仿宋_GB2312" w:cs="Times New Roman"/>
          <w:sz w:val="32"/>
          <w:szCs w:val="32"/>
        </w:rPr>
        <w:t>“</w:t>
      </w:r>
      <w:r>
        <w:rPr>
          <w:rFonts w:eastAsia="仿宋_GB2312" w:cs="Times New Roman"/>
          <w:sz w:val="32"/>
          <w:szCs w:val="32"/>
        </w:rPr>
        <w:t>完善全链条执法监管技术体系</w:t>
      </w:r>
      <w:r>
        <w:rPr>
          <w:rFonts w:eastAsia="仿宋_GB2312" w:cs="Times New Roman"/>
          <w:sz w:val="32"/>
          <w:szCs w:val="32"/>
        </w:rPr>
        <w:t xml:space="preserve"> </w:t>
      </w:r>
      <w:r>
        <w:rPr>
          <w:rFonts w:eastAsia="仿宋_GB2312" w:cs="Times New Roman"/>
          <w:sz w:val="32"/>
          <w:szCs w:val="32"/>
        </w:rPr>
        <w:t>服务精准科学依法治污</w:t>
      </w:r>
      <w:r>
        <w:rPr>
          <w:rFonts w:eastAsia="仿宋_GB2312" w:cs="Times New Roman"/>
          <w:sz w:val="32"/>
          <w:szCs w:val="32"/>
        </w:rPr>
        <w:t xml:space="preserve">” </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十四五</w:t>
      </w:r>
      <w:r>
        <w:rPr>
          <w:rFonts w:eastAsia="仿宋_GB2312" w:cs="Times New Roman"/>
          <w:sz w:val="32"/>
          <w:szCs w:val="32"/>
        </w:rPr>
        <w:t>”</w:t>
      </w:r>
      <w:r>
        <w:rPr>
          <w:rFonts w:eastAsia="仿宋_GB2312" w:cs="Times New Roman"/>
          <w:sz w:val="32"/>
          <w:szCs w:val="32"/>
        </w:rPr>
        <w:t>国家水生态环境保护战略研究报告》、</w:t>
      </w:r>
      <w:r>
        <w:rPr>
          <w:rFonts w:eastAsia="仿宋_GB2312" w:cs="Times New Roman"/>
          <w:sz w:val="32"/>
          <w:szCs w:val="32"/>
        </w:rPr>
        <w:t>“</w:t>
      </w:r>
      <w:r>
        <w:rPr>
          <w:rFonts w:eastAsia="仿宋_GB2312" w:cs="Times New Roman"/>
          <w:sz w:val="32"/>
          <w:szCs w:val="32"/>
        </w:rPr>
        <w:t>推进水生态环境治理减污降碳协同增效的进展、问题与对策</w:t>
      </w:r>
      <w:r>
        <w:rPr>
          <w:rFonts w:eastAsia="仿宋_GB2312" w:cs="Times New Roman"/>
          <w:sz w:val="32"/>
          <w:szCs w:val="32"/>
        </w:rPr>
        <w:t>”</w:t>
      </w:r>
      <w:r>
        <w:rPr>
          <w:rFonts w:eastAsia="仿宋_GB2312" w:cs="Times New Roman"/>
          <w:sz w:val="32"/>
          <w:szCs w:val="32"/>
        </w:rPr>
        <w:t>等政策建议和研究报告，获生态环境部领导批示。</w:t>
      </w:r>
    </w:p>
    <w:p w14:paraId="3D925F0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2020-2021</w:t>
      </w:r>
      <w:r>
        <w:rPr>
          <w:rFonts w:eastAsia="仿宋_GB2312" w:cs="Times New Roman"/>
          <w:sz w:val="32"/>
          <w:szCs w:val="32"/>
        </w:rPr>
        <w:t>年学位授权点主要科技专报保送包括：</w:t>
      </w:r>
      <w:r>
        <w:rPr>
          <w:rFonts w:eastAsia="仿宋_GB2312" w:cs="Times New Roman"/>
          <w:sz w:val="32"/>
          <w:szCs w:val="32"/>
        </w:rPr>
        <w:t>2020</w:t>
      </w:r>
      <w:r>
        <w:rPr>
          <w:rFonts w:eastAsia="仿宋_GB2312" w:cs="Times New Roman"/>
          <w:sz w:val="32"/>
          <w:szCs w:val="32"/>
        </w:rPr>
        <w:t>年第</w:t>
      </w:r>
      <w:r>
        <w:rPr>
          <w:rFonts w:eastAsia="仿宋_GB2312" w:cs="Times New Roman"/>
          <w:sz w:val="32"/>
          <w:szCs w:val="32"/>
        </w:rPr>
        <w:t>11</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京津冀及周边地区农村清洁取暖补贴政策调研与建议</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68</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碳达峰国家达峰特征与启示</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7</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推进清洁生产加快工业行业减污降碳协调发展</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20</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光伏发电全生命周碳减排潜力分析及相关建议</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35</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加快实施碳标签制度助力实现碳中和</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40</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我</w:t>
      </w:r>
      <w:r>
        <w:rPr>
          <w:rFonts w:eastAsia="仿宋_GB2312" w:cs="Times New Roman"/>
          <w:sz w:val="32"/>
          <w:szCs w:val="32"/>
        </w:rPr>
        <w:lastRenderedPageBreak/>
        <w:t>国温室气体排放清单编制现状及相关建议</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51</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中国省级碳达峰碳中和指数评价</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 xml:space="preserve"> 2021</w:t>
      </w:r>
      <w:r>
        <w:rPr>
          <w:rFonts w:eastAsia="仿宋_GB2312" w:cs="Times New Roman"/>
          <w:sz w:val="32"/>
          <w:szCs w:val="32"/>
        </w:rPr>
        <w:t>年第</w:t>
      </w:r>
      <w:r>
        <w:rPr>
          <w:rFonts w:eastAsia="仿宋_GB2312" w:cs="Times New Roman"/>
          <w:sz w:val="32"/>
          <w:szCs w:val="32"/>
        </w:rPr>
        <w:t>56</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科学设定城市年度碳排放总量控制目标全面推动城市碳达峰碳中和工作</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58</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加快生物质固废资源化项目碳排放交易体系建设，助力碳达峰碳中和战</w:t>
      </w:r>
      <w:r>
        <w:rPr>
          <w:rFonts w:eastAsia="仿宋_GB2312" w:cs="Times New Roman"/>
          <w:sz w:val="32"/>
          <w:szCs w:val="32"/>
        </w:rPr>
        <w:t>”</w:t>
      </w:r>
      <w:r>
        <w:rPr>
          <w:rFonts w:eastAsia="仿宋_GB2312" w:cs="Times New Roman"/>
          <w:sz w:val="32"/>
          <w:szCs w:val="32"/>
        </w:rPr>
        <w:t>和</w:t>
      </w:r>
      <w:r>
        <w:rPr>
          <w:rFonts w:eastAsia="仿宋_GB2312" w:cs="Times New Roman"/>
          <w:sz w:val="32"/>
          <w:szCs w:val="32"/>
        </w:rPr>
        <w:t>2021</w:t>
      </w:r>
      <w:r>
        <w:rPr>
          <w:rFonts w:eastAsia="仿宋_GB2312" w:cs="Times New Roman"/>
          <w:sz w:val="32"/>
          <w:szCs w:val="32"/>
        </w:rPr>
        <w:t>年第</w:t>
      </w:r>
      <w:r>
        <w:rPr>
          <w:rFonts w:eastAsia="仿宋_GB2312" w:cs="Times New Roman"/>
          <w:sz w:val="32"/>
          <w:szCs w:val="32"/>
        </w:rPr>
        <w:t>65</w:t>
      </w:r>
      <w:r>
        <w:rPr>
          <w:rFonts w:eastAsia="仿宋_GB2312" w:cs="Times New Roman"/>
          <w:sz w:val="32"/>
          <w:szCs w:val="32"/>
        </w:rPr>
        <w:t>期</w:t>
      </w:r>
      <w:r>
        <w:rPr>
          <w:rFonts w:eastAsia="仿宋_GB2312" w:cs="Times New Roman"/>
          <w:sz w:val="32"/>
          <w:szCs w:val="32"/>
        </w:rPr>
        <w:t>“</w:t>
      </w:r>
      <w:r>
        <w:rPr>
          <w:rFonts w:eastAsia="仿宋_GB2312" w:cs="Times New Roman"/>
          <w:sz w:val="32"/>
          <w:szCs w:val="32"/>
        </w:rPr>
        <w:t>关于开展区域协同减碳的对策建议</w:t>
      </w:r>
      <w:r>
        <w:rPr>
          <w:rFonts w:eastAsia="仿宋_GB2312" w:cs="Times New Roman"/>
          <w:sz w:val="32"/>
          <w:szCs w:val="32"/>
        </w:rPr>
        <w:t>”</w:t>
      </w:r>
      <w:r>
        <w:rPr>
          <w:rFonts w:eastAsia="仿宋_GB2312" w:cs="Times New Roman"/>
          <w:sz w:val="32"/>
          <w:szCs w:val="32"/>
        </w:rPr>
        <w:t>等。</w:t>
      </w:r>
    </w:p>
    <w:p w14:paraId="335415C3" w14:textId="77777777" w:rsidR="00AB51C8" w:rsidRDefault="00000000">
      <w:pPr>
        <w:pStyle w:val="21"/>
        <w:spacing w:line="560" w:lineRule="exact"/>
        <w:ind w:firstLineChars="200" w:firstLine="640"/>
        <w:rPr>
          <w:rFonts w:ascii="楷体_GB2312" w:eastAsia="楷体_GB2312"/>
          <w:sz w:val="32"/>
          <w:szCs w:val="32"/>
        </w:rPr>
      </w:pPr>
      <w:bookmarkStart w:id="29" w:name="_Toc101773649"/>
      <w:r>
        <w:rPr>
          <w:rFonts w:ascii="楷体_GB2312" w:eastAsia="楷体_GB2312" w:hint="eastAsia"/>
          <w:sz w:val="32"/>
          <w:szCs w:val="32"/>
        </w:rPr>
        <w:t>（三）创新优秀文化</w:t>
      </w:r>
      <w:bookmarkEnd w:id="29"/>
    </w:p>
    <w:p w14:paraId="3BD3B69A"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组织师生前往圆明园遗址公园开展</w:t>
      </w:r>
      <w:r>
        <w:rPr>
          <w:rFonts w:eastAsia="仿宋_GB2312" w:cs="Times New Roman"/>
          <w:sz w:val="32"/>
          <w:szCs w:val="32"/>
        </w:rPr>
        <w:t>“</w:t>
      </w:r>
      <w:r>
        <w:rPr>
          <w:rFonts w:eastAsia="仿宋_GB2312" w:cs="Times New Roman"/>
          <w:sz w:val="32"/>
          <w:szCs w:val="32"/>
        </w:rPr>
        <w:t>勿忘百年国耻、勇担历史使命、筑梦美丽中国</w:t>
      </w:r>
      <w:r>
        <w:rPr>
          <w:rFonts w:eastAsia="仿宋_GB2312" w:cs="Times New Roman"/>
          <w:sz w:val="32"/>
          <w:szCs w:val="32"/>
        </w:rPr>
        <w:t>——</w:t>
      </w:r>
      <w:r>
        <w:rPr>
          <w:rFonts w:eastAsia="仿宋_GB2312" w:cs="Times New Roman"/>
          <w:sz w:val="32"/>
          <w:szCs w:val="32"/>
        </w:rPr>
        <w:t>助力深入打好污染防治攻坚战</w:t>
      </w:r>
      <w:r>
        <w:rPr>
          <w:rFonts w:eastAsia="仿宋_GB2312" w:cs="Times New Roman"/>
          <w:sz w:val="32"/>
          <w:szCs w:val="32"/>
        </w:rPr>
        <w:t>”</w:t>
      </w:r>
      <w:r>
        <w:rPr>
          <w:rFonts w:eastAsia="仿宋_GB2312" w:cs="Times New Roman"/>
          <w:sz w:val="32"/>
          <w:szCs w:val="32"/>
        </w:rPr>
        <w:t>主题党日活动。使全体师生深刻领会总书记提出的</w:t>
      </w:r>
      <w:r>
        <w:rPr>
          <w:rFonts w:eastAsia="仿宋_GB2312" w:cs="Times New Roman"/>
          <w:sz w:val="32"/>
          <w:szCs w:val="32"/>
        </w:rPr>
        <w:t>“</w:t>
      </w:r>
      <w:r>
        <w:rPr>
          <w:rFonts w:eastAsia="仿宋_GB2312" w:cs="Times New Roman"/>
          <w:sz w:val="32"/>
          <w:szCs w:val="32"/>
        </w:rPr>
        <w:t>学史明理、学史增信、学史崇德、学史力行</w:t>
      </w:r>
      <w:r>
        <w:rPr>
          <w:rFonts w:eastAsia="仿宋_GB2312" w:cs="Times New Roman"/>
          <w:sz w:val="32"/>
          <w:szCs w:val="32"/>
        </w:rPr>
        <w:t>”</w:t>
      </w:r>
      <w:r>
        <w:rPr>
          <w:rFonts w:eastAsia="仿宋_GB2312" w:cs="Times New Roman"/>
          <w:sz w:val="32"/>
          <w:szCs w:val="32"/>
        </w:rPr>
        <w:t>重要指示精神，充分的认识到生态环境保护工作是关系党的使命宗旨的重大政治问题，也是关系民生的重大社会问题，大家必须增强新时代生态环保铁军意识，充分发挥党员的先锋队作用，努力建成一支能征善战的生态环保科技铁军队伍。</w:t>
      </w:r>
    </w:p>
    <w:p w14:paraId="441106D7"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努力营造所内积极向上、快乐工作、快乐学习的氛围，结合支部活动组织全体师生参观党史百年邮展、百年书画展、党史展览馆等红色教育基地，提升幸福感；结合工会工作组织全体师生积极参与排球赛、广播操比赛、健步走、微缩景观制作等多项文娱活动，增强凝聚力。</w:t>
      </w:r>
    </w:p>
    <w:p w14:paraId="5C40383A" w14:textId="77777777" w:rsidR="00AB51C8" w:rsidRDefault="00000000">
      <w:pPr>
        <w:pStyle w:val="21"/>
        <w:spacing w:line="560" w:lineRule="exact"/>
        <w:ind w:firstLineChars="200" w:firstLine="640"/>
        <w:rPr>
          <w:rFonts w:ascii="楷体_GB2312" w:eastAsia="楷体_GB2312"/>
          <w:sz w:val="32"/>
          <w:szCs w:val="32"/>
        </w:rPr>
      </w:pPr>
      <w:bookmarkStart w:id="30" w:name="_Toc101773650"/>
      <w:r>
        <w:rPr>
          <w:rFonts w:ascii="楷体_GB2312" w:eastAsia="楷体_GB2312" w:hint="eastAsia"/>
          <w:sz w:val="32"/>
          <w:szCs w:val="32"/>
        </w:rPr>
        <w:t>（四）国际交流</w:t>
      </w:r>
      <w:bookmarkEnd w:id="30"/>
    </w:p>
    <w:p w14:paraId="26B9E5E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本学科鼓励研究生在国内外高水平学术会议上发言，要求</w:t>
      </w:r>
      <w:r>
        <w:rPr>
          <w:rFonts w:eastAsia="仿宋_GB2312" w:cs="Times New Roman"/>
          <w:sz w:val="32"/>
          <w:szCs w:val="32"/>
        </w:rPr>
        <w:lastRenderedPageBreak/>
        <w:t>硕士生能够熟练地进行学术交流，表达学术思想，展示学术成果。在考察期（</w:t>
      </w:r>
      <w:r>
        <w:rPr>
          <w:rFonts w:eastAsia="仿宋_GB2312" w:cs="Times New Roman"/>
          <w:sz w:val="32"/>
          <w:szCs w:val="32"/>
        </w:rPr>
        <w:t>2020-2021</w:t>
      </w:r>
      <w:r>
        <w:rPr>
          <w:rFonts w:eastAsia="仿宋_GB2312" w:cs="Times New Roman"/>
          <w:sz w:val="32"/>
          <w:szCs w:val="32"/>
        </w:rPr>
        <w:t>年）间，研究生在</w:t>
      </w:r>
      <w:r>
        <w:rPr>
          <w:rFonts w:eastAsia="仿宋_GB2312" w:cs="Times New Roman"/>
          <w:sz w:val="32"/>
          <w:szCs w:val="32"/>
        </w:rPr>
        <w:t>“</w:t>
      </w:r>
      <w:r>
        <w:rPr>
          <w:rFonts w:eastAsia="仿宋_GB2312" w:cs="Times New Roman"/>
          <w:sz w:val="32"/>
          <w:szCs w:val="32"/>
        </w:rPr>
        <w:t>第一届全国碳中和与绿色发展大会</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中国环境科学学会</w:t>
      </w:r>
      <w:r>
        <w:rPr>
          <w:rFonts w:eastAsia="仿宋_GB2312" w:cs="Times New Roman"/>
          <w:sz w:val="32"/>
          <w:szCs w:val="32"/>
        </w:rPr>
        <w:t>2021</w:t>
      </w:r>
      <w:r>
        <w:rPr>
          <w:rFonts w:eastAsia="仿宋_GB2312" w:cs="Times New Roman"/>
          <w:sz w:val="32"/>
          <w:szCs w:val="32"/>
        </w:rPr>
        <w:t>年科学技术年会</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“2021 International Conference on Cleaner Production and Sustainability”</w:t>
      </w:r>
      <w:r>
        <w:rPr>
          <w:rFonts w:eastAsia="仿宋_GB2312" w:cs="Times New Roman"/>
          <w:sz w:val="32"/>
          <w:szCs w:val="32"/>
        </w:rPr>
        <w:t>和</w:t>
      </w:r>
      <w:r>
        <w:rPr>
          <w:rFonts w:eastAsia="仿宋_GB2312" w:cs="Times New Roman"/>
          <w:sz w:val="32"/>
          <w:szCs w:val="32"/>
        </w:rPr>
        <w:t>“</w:t>
      </w:r>
      <w:r>
        <w:rPr>
          <w:rFonts w:eastAsia="仿宋_GB2312" w:cs="Times New Roman"/>
          <w:sz w:val="32"/>
          <w:szCs w:val="32"/>
        </w:rPr>
        <w:t>第三届中国能源环境与气候变化经济学者论坛</w:t>
      </w:r>
      <w:r>
        <w:rPr>
          <w:rFonts w:eastAsia="仿宋_GB2312" w:cs="Times New Roman"/>
          <w:sz w:val="32"/>
          <w:szCs w:val="32"/>
        </w:rPr>
        <w:t>”</w:t>
      </w:r>
      <w:r>
        <w:rPr>
          <w:rFonts w:eastAsia="仿宋_GB2312" w:cs="Times New Roman"/>
          <w:sz w:val="32"/>
          <w:szCs w:val="32"/>
        </w:rPr>
        <w:t>等发言或参会。</w:t>
      </w:r>
    </w:p>
    <w:p w14:paraId="44B5D125" w14:textId="77777777" w:rsidR="00AB51C8" w:rsidRDefault="00000000">
      <w:pPr>
        <w:pStyle w:val="1"/>
        <w:spacing w:line="560" w:lineRule="exact"/>
        <w:ind w:firstLineChars="200" w:firstLine="640"/>
        <w:rPr>
          <w:rFonts w:ascii="黑体" w:hAnsi="黑体" w:cs="Times New Roman"/>
          <w:b w:val="0"/>
          <w:bCs w:val="0"/>
          <w:szCs w:val="32"/>
        </w:rPr>
      </w:pPr>
      <w:bookmarkStart w:id="31" w:name="_Toc101773651"/>
      <w:r>
        <w:rPr>
          <w:rFonts w:ascii="黑体" w:hAnsi="黑体" w:cs="Times New Roman"/>
          <w:b w:val="0"/>
          <w:bCs w:val="0"/>
          <w:szCs w:val="32"/>
        </w:rPr>
        <w:t>五、教育质量评估与分析</w:t>
      </w:r>
      <w:bookmarkEnd w:id="31"/>
    </w:p>
    <w:p w14:paraId="0E254672" w14:textId="77777777" w:rsidR="00AB51C8" w:rsidRDefault="00000000">
      <w:pPr>
        <w:pStyle w:val="21"/>
        <w:spacing w:line="560" w:lineRule="exact"/>
        <w:ind w:firstLineChars="200" w:firstLine="640"/>
        <w:rPr>
          <w:rFonts w:ascii="楷体_GB2312" w:eastAsia="楷体_GB2312"/>
          <w:sz w:val="32"/>
          <w:szCs w:val="32"/>
        </w:rPr>
      </w:pPr>
      <w:bookmarkStart w:id="32" w:name="_Toc101773652"/>
      <w:r>
        <w:rPr>
          <w:rFonts w:ascii="楷体_GB2312" w:eastAsia="楷体_GB2312" w:hint="eastAsia"/>
          <w:sz w:val="32"/>
          <w:szCs w:val="32"/>
        </w:rPr>
        <w:t>（一）学科自我评估进展</w:t>
      </w:r>
      <w:bookmarkEnd w:id="32"/>
    </w:p>
    <w:p w14:paraId="470C3A43"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）组织机构</w:t>
      </w:r>
    </w:p>
    <w:p w14:paraId="3B23F4AE"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根据《中国环境科学研究院</w:t>
      </w:r>
      <w:r>
        <w:rPr>
          <w:rFonts w:eastAsia="仿宋_GB2312" w:cs="Times New Roman"/>
          <w:sz w:val="32"/>
          <w:szCs w:val="32"/>
        </w:rPr>
        <w:t>2020-2025</w:t>
      </w:r>
      <w:r>
        <w:rPr>
          <w:rFonts w:eastAsia="仿宋_GB2312" w:cs="Times New Roman"/>
          <w:sz w:val="32"/>
          <w:szCs w:val="32"/>
        </w:rPr>
        <w:t>评估工作方案》，成立本学位点评估工作机构，负责本学位点评估工作方案的制定及组织实施。</w:t>
      </w:r>
    </w:p>
    <w:p w14:paraId="6D6E96F8"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）工作流程与日程安排</w:t>
      </w:r>
    </w:p>
    <w:p w14:paraId="46A2872D"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前期准备阶段：成立学位授权点合格评估领导小组，召开学位授权点合格评估领导小组会议，确定各学科小组组长及成员，明确各自职责任务；完成学位授权点基本状态信息表的填写；修改完善学位授权点合格评估评价要素与评级标准，提交材料组织院内专家评估；收集整理学位授权点合格评估需要提供的支撑材料。</w:t>
      </w:r>
    </w:p>
    <w:p w14:paraId="6428B684"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自我评估阶段：总结已有经验，制定评估指标与合格标准，起草组根据院学位委员会的建议修改完善；聘请院外专家进行自评估报告的预评。</w:t>
      </w:r>
    </w:p>
    <w:p w14:paraId="08EED8BF"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lastRenderedPageBreak/>
        <w:t>材料审查上报阶段：对材料进行审查，提出完善意见和建议，形成终稿。</w:t>
      </w:r>
    </w:p>
    <w:p w14:paraId="4DFDD55A" w14:textId="77777777" w:rsidR="00AB51C8" w:rsidRDefault="00000000">
      <w:pPr>
        <w:pStyle w:val="21"/>
        <w:spacing w:line="560" w:lineRule="exact"/>
        <w:ind w:firstLineChars="200" w:firstLine="640"/>
        <w:rPr>
          <w:rFonts w:ascii="楷体_GB2312" w:eastAsia="楷体_GB2312"/>
          <w:sz w:val="32"/>
          <w:szCs w:val="32"/>
        </w:rPr>
      </w:pPr>
      <w:bookmarkStart w:id="33" w:name="_Toc101773653"/>
      <w:r>
        <w:rPr>
          <w:rFonts w:ascii="楷体_GB2312" w:eastAsia="楷体_GB2312" w:hint="eastAsia"/>
          <w:sz w:val="32"/>
          <w:szCs w:val="32"/>
        </w:rPr>
        <w:t>（二）学位论文抽检情况</w:t>
      </w:r>
      <w:bookmarkEnd w:id="33"/>
    </w:p>
    <w:p w14:paraId="1DEEBFDB"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在教育部和北京学位办组织的论文抽检过程中，本学位点未出现不合格的现象。</w:t>
      </w:r>
    </w:p>
    <w:p w14:paraId="6B42E615" w14:textId="77777777" w:rsidR="00AB51C8" w:rsidRDefault="00000000">
      <w:pPr>
        <w:pStyle w:val="21"/>
        <w:spacing w:line="560" w:lineRule="exact"/>
        <w:ind w:firstLineChars="200" w:firstLine="640"/>
        <w:rPr>
          <w:rFonts w:ascii="楷体_GB2312" w:eastAsia="楷体_GB2312"/>
          <w:sz w:val="32"/>
          <w:szCs w:val="32"/>
        </w:rPr>
      </w:pPr>
      <w:bookmarkStart w:id="34" w:name="_Toc101773654"/>
      <w:r>
        <w:rPr>
          <w:rFonts w:ascii="楷体_GB2312" w:eastAsia="楷体_GB2312" w:hint="eastAsia"/>
          <w:sz w:val="32"/>
          <w:szCs w:val="32"/>
        </w:rPr>
        <w:t>（三）问题分析</w:t>
      </w:r>
      <w:bookmarkEnd w:id="34"/>
    </w:p>
    <w:p w14:paraId="0081B64F"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）招生数量与师资规模不匹配</w:t>
      </w:r>
    </w:p>
    <w:p w14:paraId="0B3B9FC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本学位授权点年均分配招生指标为</w:t>
      </w:r>
      <w:r>
        <w:rPr>
          <w:rFonts w:eastAsia="仿宋_GB2312" w:cs="Times New Roman"/>
          <w:sz w:val="32"/>
          <w:szCs w:val="32"/>
        </w:rPr>
        <w:t>5</w:t>
      </w:r>
      <w:r>
        <w:rPr>
          <w:rFonts w:eastAsia="仿宋_GB2312" w:cs="Times New Roman"/>
          <w:sz w:val="32"/>
          <w:szCs w:val="32"/>
        </w:rPr>
        <w:t>人。本学位授权点师生比高达</w:t>
      </w:r>
      <w:r>
        <w:rPr>
          <w:rFonts w:eastAsia="仿宋_GB2312" w:cs="Times New Roman"/>
          <w:sz w:val="32"/>
          <w:szCs w:val="32"/>
        </w:rPr>
        <w:t>3</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sz w:val="32"/>
          <w:szCs w:val="32"/>
        </w:rPr>
        <w:t>70%</w:t>
      </w:r>
      <w:r>
        <w:rPr>
          <w:rFonts w:eastAsia="仿宋_GB2312" w:cs="Times New Roman"/>
          <w:sz w:val="32"/>
          <w:szCs w:val="32"/>
        </w:rPr>
        <w:t>以上的师资资源未得到充分利用。招生数量与师资规模不匹配，在一定程度上限制了本学科人才培养和学科发展。</w:t>
      </w:r>
    </w:p>
    <w:p w14:paraId="096DA682"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）学生参加国际交流比例偏小</w:t>
      </w:r>
    </w:p>
    <w:p w14:paraId="4E9988F4"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近五年来，本学位授权点研究生学术交流以参加国</w:t>
      </w:r>
      <w:proofErr w:type="gramStart"/>
      <w:r>
        <w:rPr>
          <w:rFonts w:eastAsia="仿宋_GB2312" w:cs="Times New Roman"/>
          <w:sz w:val="32"/>
          <w:szCs w:val="32"/>
        </w:rPr>
        <w:t>内学术</w:t>
      </w:r>
      <w:proofErr w:type="gramEnd"/>
      <w:r>
        <w:rPr>
          <w:rFonts w:eastAsia="仿宋_GB2312" w:cs="Times New Roman"/>
          <w:sz w:val="32"/>
          <w:szCs w:val="32"/>
        </w:rPr>
        <w:t>会议为主，而受制于出国计划审批规定与新冠疫情影响，参加国际交流比例偏小，特别是没有短期访学和留学生交换项目。</w:t>
      </w:r>
    </w:p>
    <w:p w14:paraId="7327D1EA" w14:textId="77777777" w:rsidR="00AB51C8" w:rsidRDefault="00000000">
      <w:pPr>
        <w:pStyle w:val="1"/>
        <w:spacing w:line="560" w:lineRule="exact"/>
        <w:ind w:firstLineChars="200" w:firstLine="640"/>
        <w:rPr>
          <w:rFonts w:ascii="黑体" w:hAnsi="黑体" w:cs="Times New Roman"/>
          <w:b w:val="0"/>
          <w:bCs w:val="0"/>
          <w:szCs w:val="32"/>
        </w:rPr>
      </w:pPr>
      <w:bookmarkStart w:id="35" w:name="_Toc101773655"/>
      <w:r>
        <w:rPr>
          <w:rFonts w:ascii="黑体" w:hAnsi="黑体" w:cs="Times New Roman"/>
          <w:b w:val="0"/>
          <w:bCs w:val="0"/>
          <w:szCs w:val="32"/>
        </w:rPr>
        <w:t>六、改进措施</w:t>
      </w:r>
      <w:bookmarkEnd w:id="35"/>
    </w:p>
    <w:p w14:paraId="59ACFB4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面向本学科发展前沿和国家发展需求，充分发挥本学位授权点雄厚的师资资源、良好的科研创新平台优势，本学位授权点在持续提升教职员工学术水平和能力的同时，增加研究生招生人数，师生</w:t>
      </w:r>
      <w:proofErr w:type="gramStart"/>
      <w:r>
        <w:rPr>
          <w:rFonts w:eastAsia="仿宋_GB2312" w:cs="Times New Roman"/>
          <w:sz w:val="32"/>
          <w:szCs w:val="32"/>
        </w:rPr>
        <w:t>比逐步</w:t>
      </w:r>
      <w:proofErr w:type="gramEnd"/>
      <w:r>
        <w:rPr>
          <w:rFonts w:eastAsia="仿宋_GB2312" w:cs="Times New Roman"/>
          <w:sz w:val="32"/>
          <w:szCs w:val="32"/>
        </w:rPr>
        <w:t>提高到</w:t>
      </w:r>
      <w:r>
        <w:rPr>
          <w:rFonts w:eastAsia="仿宋_GB2312" w:cs="Times New Roman"/>
          <w:sz w:val="32"/>
          <w:szCs w:val="32"/>
        </w:rPr>
        <w:t>2:1</w:t>
      </w:r>
      <w:r>
        <w:rPr>
          <w:rFonts w:eastAsia="仿宋_GB2312" w:cs="Times New Roman"/>
          <w:sz w:val="32"/>
          <w:szCs w:val="32"/>
        </w:rPr>
        <w:t>。</w:t>
      </w:r>
    </w:p>
    <w:p w14:paraId="5C311455"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t>强化学科交叉融合、加强实践教学，优化科研实践条件。进一步凝练培养方向、完善科研平台，提升科技创新能力。</w:t>
      </w:r>
    </w:p>
    <w:p w14:paraId="61E5E189" w14:textId="77777777" w:rsidR="00AB51C8" w:rsidRDefault="00000000">
      <w:pPr>
        <w:spacing w:line="560" w:lineRule="exact"/>
        <w:ind w:firstLine="640"/>
        <w:rPr>
          <w:rFonts w:eastAsia="仿宋_GB2312" w:cs="Times New Roman"/>
          <w:sz w:val="32"/>
          <w:szCs w:val="32"/>
        </w:rPr>
      </w:pPr>
      <w:r>
        <w:rPr>
          <w:rFonts w:eastAsia="仿宋_GB2312" w:cs="Times New Roman"/>
          <w:sz w:val="32"/>
          <w:szCs w:val="32"/>
        </w:rPr>
        <w:lastRenderedPageBreak/>
        <w:t>积极拓展国际学术交流渠道，支持和鼓励在读研究生参加国际学术会议，并提供足量的经费支持，力争使研究生在读期间至少参加</w:t>
      </w:r>
      <w:r>
        <w:rPr>
          <w:rFonts w:eastAsia="仿宋_GB2312" w:cs="Times New Roman"/>
          <w:sz w:val="32"/>
          <w:szCs w:val="32"/>
        </w:rPr>
        <w:t>1-2</w:t>
      </w:r>
      <w:r>
        <w:rPr>
          <w:rFonts w:eastAsia="仿宋_GB2312" w:cs="Times New Roman"/>
          <w:sz w:val="32"/>
          <w:szCs w:val="32"/>
        </w:rPr>
        <w:t>次国际学术会议或</w:t>
      </w:r>
      <w:r>
        <w:rPr>
          <w:rFonts w:eastAsia="仿宋_GB2312" w:cs="Times New Roman"/>
          <w:sz w:val="32"/>
          <w:szCs w:val="32"/>
        </w:rPr>
        <w:t>1</w:t>
      </w:r>
      <w:r>
        <w:rPr>
          <w:rFonts w:eastAsia="仿宋_GB2312" w:cs="Times New Roman"/>
          <w:sz w:val="32"/>
          <w:szCs w:val="32"/>
        </w:rPr>
        <w:t>次国外短期访学。</w:t>
      </w:r>
    </w:p>
    <w:sectPr w:rsidR="00AB51C8">
      <w:footerReference w:type="default" r:id="rId14"/>
      <w:pgSz w:w="11906" w:h="16838"/>
      <w:pgMar w:top="2098" w:right="1588" w:bottom="1985" w:left="1588" w:header="851" w:footer="111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648C" w14:textId="77777777" w:rsidR="00DD024F" w:rsidRDefault="00DD024F">
      <w:pPr>
        <w:spacing w:line="240" w:lineRule="auto"/>
        <w:ind w:firstLine="480"/>
      </w:pPr>
      <w:r>
        <w:separator/>
      </w:r>
    </w:p>
  </w:endnote>
  <w:endnote w:type="continuationSeparator" w:id="0">
    <w:p w14:paraId="0B7BF298" w14:textId="77777777" w:rsidR="00DD024F" w:rsidRDefault="00DD024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楷体_GB2312">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135E" w14:textId="77777777" w:rsidR="00AB51C8" w:rsidRDefault="00AB51C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99C5" w14:textId="77777777" w:rsidR="00AB51C8" w:rsidRDefault="00AB51C8">
    <w:pPr>
      <w:pStyle w:val="a9"/>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449" w14:textId="77777777" w:rsidR="00AB51C8" w:rsidRDefault="00AB51C8">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814" w14:textId="77777777" w:rsidR="00AB51C8" w:rsidRDefault="00000000">
    <w:pPr>
      <w:pStyle w:val="a9"/>
      <w:ind w:firstLine="480"/>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22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35D2" w14:textId="77777777" w:rsidR="00DD024F" w:rsidRDefault="00DD024F">
      <w:pPr>
        <w:spacing w:line="240" w:lineRule="auto"/>
        <w:ind w:firstLine="480"/>
      </w:pPr>
      <w:r>
        <w:separator/>
      </w:r>
    </w:p>
  </w:footnote>
  <w:footnote w:type="continuationSeparator" w:id="0">
    <w:p w14:paraId="38F33E8F" w14:textId="77777777" w:rsidR="00DD024F" w:rsidRDefault="00DD024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EFA8" w14:textId="77777777" w:rsidR="00AB51C8" w:rsidRDefault="00AB51C8">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4FC3" w14:textId="77777777" w:rsidR="00AB51C8" w:rsidRDefault="00AB51C8">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286B" w14:textId="77777777" w:rsidR="00AB51C8" w:rsidRDefault="00AB51C8">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25D"/>
    <w:multiLevelType w:val="multilevel"/>
    <w:tmpl w:val="2B1C125D"/>
    <w:lvl w:ilvl="0" w:tentative="1">
      <w:start w:val="1"/>
      <w:numFmt w:val="decimal"/>
      <w:pStyle w:val="111"/>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16cid:durableId="112495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05B7F"/>
    <w:rsid w:val="0000460C"/>
    <w:rsid w:val="00011887"/>
    <w:rsid w:val="00012AFC"/>
    <w:rsid w:val="000671A2"/>
    <w:rsid w:val="00094DAC"/>
    <w:rsid w:val="000B76AB"/>
    <w:rsid w:val="000C6A70"/>
    <w:rsid w:val="00105B7F"/>
    <w:rsid w:val="00146727"/>
    <w:rsid w:val="001567B7"/>
    <w:rsid w:val="00173DD0"/>
    <w:rsid w:val="00181533"/>
    <w:rsid w:val="001E59F8"/>
    <w:rsid w:val="001F496B"/>
    <w:rsid w:val="00207857"/>
    <w:rsid w:val="002109D6"/>
    <w:rsid w:val="002739B2"/>
    <w:rsid w:val="002772B0"/>
    <w:rsid w:val="00281619"/>
    <w:rsid w:val="00287DB4"/>
    <w:rsid w:val="002A3125"/>
    <w:rsid w:val="002D0287"/>
    <w:rsid w:val="002E420A"/>
    <w:rsid w:val="00326BE6"/>
    <w:rsid w:val="00357B8A"/>
    <w:rsid w:val="00362A36"/>
    <w:rsid w:val="0038183E"/>
    <w:rsid w:val="003E22EF"/>
    <w:rsid w:val="004211A3"/>
    <w:rsid w:val="00466E85"/>
    <w:rsid w:val="0047032A"/>
    <w:rsid w:val="00494A36"/>
    <w:rsid w:val="0049669B"/>
    <w:rsid w:val="004E6932"/>
    <w:rsid w:val="00534977"/>
    <w:rsid w:val="00546109"/>
    <w:rsid w:val="00582127"/>
    <w:rsid w:val="005A117C"/>
    <w:rsid w:val="005C315F"/>
    <w:rsid w:val="005C6C9B"/>
    <w:rsid w:val="005E088D"/>
    <w:rsid w:val="006060D7"/>
    <w:rsid w:val="0062061E"/>
    <w:rsid w:val="006272A2"/>
    <w:rsid w:val="00635F6D"/>
    <w:rsid w:val="0066317E"/>
    <w:rsid w:val="00681BFC"/>
    <w:rsid w:val="00681FB5"/>
    <w:rsid w:val="00690130"/>
    <w:rsid w:val="006A23B4"/>
    <w:rsid w:val="006B30C9"/>
    <w:rsid w:val="006E4EA6"/>
    <w:rsid w:val="006F348B"/>
    <w:rsid w:val="00740A4D"/>
    <w:rsid w:val="007779E3"/>
    <w:rsid w:val="007908AA"/>
    <w:rsid w:val="00790EA3"/>
    <w:rsid w:val="007911DE"/>
    <w:rsid w:val="007B133A"/>
    <w:rsid w:val="007C7478"/>
    <w:rsid w:val="007E377E"/>
    <w:rsid w:val="00814491"/>
    <w:rsid w:val="00853EBC"/>
    <w:rsid w:val="00871A0F"/>
    <w:rsid w:val="008841C4"/>
    <w:rsid w:val="008F18E0"/>
    <w:rsid w:val="00907F8E"/>
    <w:rsid w:val="00915E53"/>
    <w:rsid w:val="009775F2"/>
    <w:rsid w:val="00980F1F"/>
    <w:rsid w:val="0099009E"/>
    <w:rsid w:val="009A007D"/>
    <w:rsid w:val="009D0F20"/>
    <w:rsid w:val="009F1C59"/>
    <w:rsid w:val="00A031C6"/>
    <w:rsid w:val="00A12E67"/>
    <w:rsid w:val="00A20141"/>
    <w:rsid w:val="00A37EBF"/>
    <w:rsid w:val="00A6476C"/>
    <w:rsid w:val="00A824A1"/>
    <w:rsid w:val="00A93582"/>
    <w:rsid w:val="00AA3B81"/>
    <w:rsid w:val="00AB51C8"/>
    <w:rsid w:val="00AC6740"/>
    <w:rsid w:val="00B21272"/>
    <w:rsid w:val="00B36669"/>
    <w:rsid w:val="00B4748E"/>
    <w:rsid w:val="00B6637B"/>
    <w:rsid w:val="00BB2650"/>
    <w:rsid w:val="00BC4B7B"/>
    <w:rsid w:val="00BC68E7"/>
    <w:rsid w:val="00BE6372"/>
    <w:rsid w:val="00C35773"/>
    <w:rsid w:val="00C41ED7"/>
    <w:rsid w:val="00C62E91"/>
    <w:rsid w:val="00C946D7"/>
    <w:rsid w:val="00D17DFE"/>
    <w:rsid w:val="00D27A6E"/>
    <w:rsid w:val="00D54B0B"/>
    <w:rsid w:val="00D962CB"/>
    <w:rsid w:val="00DB6183"/>
    <w:rsid w:val="00DD024F"/>
    <w:rsid w:val="00DE2A61"/>
    <w:rsid w:val="00E07D58"/>
    <w:rsid w:val="00E61D4F"/>
    <w:rsid w:val="00F23C42"/>
    <w:rsid w:val="00F41E23"/>
    <w:rsid w:val="00F85966"/>
    <w:rsid w:val="00F96208"/>
    <w:rsid w:val="00FA50D7"/>
    <w:rsid w:val="00FC2D74"/>
    <w:rsid w:val="00FF70A2"/>
    <w:rsid w:val="1F62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D025B65"/>
  <w15:docId w15:val="{E2C7F6AC-C818-4F75-B371-FD9CC9CD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qFormat="1"/>
    <w:lsdException w:name="annotation text" w:qFormat="1"/>
    <w:lsdException w:name="header" w:uiPriority="99" w:unhideWhenUsed="1" w:qFormat="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spacing w:line="360" w:lineRule="auto"/>
      <w:ind w:firstLineChars="200" w:firstLine="200"/>
      <w:jc w:val="both"/>
    </w:pPr>
    <w:rPr>
      <w:rFonts w:cs="黑体"/>
      <w:kern w:val="2"/>
      <w:sz w:val="24"/>
      <w:szCs w:val="24"/>
    </w:rPr>
  </w:style>
  <w:style w:type="paragraph" w:styleId="1">
    <w:name w:val="heading 1"/>
    <w:basedOn w:val="a"/>
    <w:next w:val="a"/>
    <w:link w:val="10"/>
    <w:qFormat/>
    <w:pPr>
      <w:keepNext/>
      <w:keepLines/>
      <w:ind w:firstLineChars="0" w:firstLine="0"/>
      <w:outlineLvl w:val="0"/>
    </w:pPr>
    <w:rPr>
      <w:rFonts w:eastAsia="黑体"/>
      <w:b/>
      <w:bCs/>
      <w:kern w:val="44"/>
      <w:sz w:val="32"/>
      <w:szCs w:val="44"/>
    </w:rPr>
  </w:style>
  <w:style w:type="paragraph" w:styleId="2">
    <w:name w:val="heading 2"/>
    <w:basedOn w:val="a"/>
    <w:next w:val="a"/>
    <w:link w:val="20"/>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qFormat/>
    <w:pPr>
      <w:keepNext/>
      <w:keepLines/>
      <w:outlineLvl w:val="2"/>
    </w:pPr>
    <w:rPr>
      <w:b/>
      <w:bCs/>
      <w:szCs w:val="32"/>
    </w:rPr>
  </w:style>
  <w:style w:type="paragraph" w:styleId="4">
    <w:name w:val="heading 4"/>
    <w:basedOn w:val="a"/>
    <w:next w:val="a"/>
    <w:link w:val="41"/>
    <w:uiPriority w:val="9"/>
    <w:qFormat/>
    <w:pPr>
      <w:keepNext/>
      <w:keepLines/>
      <w:widowControl/>
      <w:spacing w:before="280" w:after="290" w:line="376" w:lineRule="auto"/>
      <w:ind w:firstLineChars="0" w:firstLine="0"/>
      <w:jc w:val="left"/>
      <w:outlineLvl w:val="3"/>
    </w:pPr>
    <w:rPr>
      <w:rFonts w:ascii="等线 Light" w:eastAsia="等线 Light" w:hAnsi="等线 Light"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1"/>
    <w:uiPriority w:val="99"/>
    <w:unhideWhenUsed/>
    <w:qFormat/>
    <w:pPr>
      <w:spacing w:line="240" w:lineRule="auto"/>
      <w:ind w:firstLineChars="0" w:firstLine="0"/>
    </w:pPr>
    <w:rPr>
      <w:rFonts w:ascii="等线" w:eastAsia="等线" w:hAnsi="等线"/>
      <w:b/>
      <w:bCs/>
    </w:rPr>
  </w:style>
  <w:style w:type="paragraph" w:styleId="a4">
    <w:name w:val="annotation text"/>
    <w:basedOn w:val="a"/>
    <w:link w:val="12"/>
    <w:qFormat/>
    <w:pPr>
      <w:widowControl/>
      <w:spacing w:line="600" w:lineRule="exact"/>
      <w:ind w:firstLine="883"/>
      <w:jc w:val="left"/>
    </w:pPr>
    <w:rPr>
      <w:rFonts w:ascii="Calibri" w:eastAsia="仿宋" w:hAnsi="Calibri" w:cs="Times New Roman"/>
      <w:kern w:val="0"/>
      <w:sz w:val="30"/>
    </w:rPr>
  </w:style>
  <w:style w:type="paragraph" w:styleId="a5">
    <w:name w:val="caption"/>
    <w:basedOn w:val="a"/>
    <w:next w:val="a"/>
    <w:uiPriority w:val="35"/>
    <w:unhideWhenUsed/>
    <w:qFormat/>
    <w:pPr>
      <w:ind w:firstLineChars="0" w:firstLine="0"/>
      <w:jc w:val="center"/>
    </w:pPr>
    <w:rPr>
      <w:sz w:val="21"/>
      <w:szCs w:val="20"/>
    </w:rPr>
  </w:style>
  <w:style w:type="paragraph" w:styleId="a6">
    <w:name w:val="Date"/>
    <w:basedOn w:val="a"/>
    <w:next w:val="a"/>
    <w:link w:val="13"/>
    <w:uiPriority w:val="99"/>
    <w:unhideWhenUsed/>
    <w:qFormat/>
    <w:pPr>
      <w:widowControl/>
      <w:spacing w:line="240" w:lineRule="auto"/>
      <w:ind w:leftChars="2500" w:left="100" w:firstLineChars="0" w:firstLine="0"/>
      <w:jc w:val="left"/>
    </w:pPr>
    <w:rPr>
      <w:rFonts w:ascii="宋体" w:hAnsi="宋体" w:cs="宋体"/>
      <w:kern w:val="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dot" w:pos="8296"/>
      </w:tabs>
      <w:ind w:firstLineChars="0" w:firstLine="0"/>
    </w:pPr>
    <w:rPr>
      <w:rFonts w:eastAsia="黑体" w:cs="Times New Roman"/>
      <w:bCs/>
    </w:rPr>
  </w:style>
  <w:style w:type="paragraph" w:styleId="ad">
    <w:name w:val="footnote text"/>
    <w:basedOn w:val="a"/>
    <w:link w:val="14"/>
    <w:uiPriority w:val="99"/>
    <w:unhideWhenUsed/>
    <w:qFormat/>
    <w:pPr>
      <w:widowControl/>
      <w:snapToGrid w:val="0"/>
      <w:spacing w:line="600" w:lineRule="exact"/>
      <w:ind w:firstLine="883"/>
      <w:jc w:val="left"/>
    </w:pPr>
    <w:rPr>
      <w:rFonts w:ascii="Calibri" w:eastAsia="仿宋" w:hAnsi="Calibri" w:cs="Times New Roman"/>
      <w:kern w:val="0"/>
      <w:sz w:val="18"/>
    </w:rPr>
  </w:style>
  <w:style w:type="paragraph" w:styleId="TOC2">
    <w:name w:val="toc 2"/>
    <w:basedOn w:val="a"/>
    <w:next w:val="a"/>
    <w:uiPriority w:val="39"/>
    <w:unhideWhenUsed/>
    <w:pPr>
      <w:tabs>
        <w:tab w:val="right" w:leader="dot" w:pos="8296"/>
      </w:tabs>
      <w:ind w:leftChars="200" w:left="200"/>
    </w:pPr>
    <w:rPr>
      <w:rFonts w:eastAsia="楷体"/>
    </w:rPr>
  </w:style>
  <w:style w:type="paragraph" w:styleId="ae">
    <w:name w:val="Normal (Web)"/>
    <w:basedOn w:val="a"/>
    <w:uiPriority w:val="99"/>
    <w:unhideWhenUsed/>
    <w:qFormat/>
    <w:pPr>
      <w:widowControl/>
      <w:spacing w:before="100" w:beforeAutospacing="1" w:after="100" w:afterAutospacing="1" w:line="240" w:lineRule="auto"/>
      <w:ind w:firstLineChars="0" w:firstLine="0"/>
      <w:jc w:val="left"/>
    </w:pPr>
    <w:rPr>
      <w:rFonts w:ascii="宋体" w:hAnsi="宋体" w:cs="宋体"/>
      <w:kern w:val="0"/>
    </w:rPr>
  </w:style>
  <w:style w:type="paragraph" w:styleId="af">
    <w:name w:val="Title"/>
    <w:basedOn w:val="a"/>
    <w:next w:val="a"/>
    <w:link w:val="af0"/>
    <w:qFormat/>
    <w:pPr>
      <w:adjustRightInd w:val="0"/>
      <w:spacing w:before="240" w:after="60" w:line="312" w:lineRule="atLeast"/>
      <w:ind w:firstLineChars="0" w:firstLine="0"/>
      <w:jc w:val="left"/>
      <w:textAlignment w:val="baseline"/>
      <w:outlineLvl w:val="0"/>
    </w:pPr>
    <w:rPr>
      <w:rFonts w:ascii="等线 Light" w:hAnsi="等线 Light" w:cs="Times New Roman"/>
      <w:b/>
      <w:bCs/>
      <w:spacing w:val="-3"/>
      <w:kern w:val="0"/>
      <w:szCs w:val="32"/>
    </w:rPr>
  </w:style>
  <w:style w:type="character" w:styleId="af1">
    <w:name w:val="Strong"/>
    <w:uiPriority w:val="22"/>
    <w:qFormat/>
    <w:rPr>
      <w:b/>
      <w:bCs/>
    </w:rPr>
  </w:style>
  <w:style w:type="character" w:styleId="af2">
    <w:name w:val="page number"/>
    <w:basedOn w:val="a0"/>
    <w:uiPriority w:val="99"/>
    <w:unhideWhenUsed/>
    <w:qFormat/>
  </w:style>
  <w:style w:type="character" w:styleId="af3">
    <w:name w:val="FollowedHyperlink"/>
    <w:uiPriority w:val="99"/>
    <w:unhideWhenUsed/>
    <w:rPr>
      <w:color w:val="954F72"/>
      <w:u w:val="single"/>
    </w:rPr>
  </w:style>
  <w:style w:type="character" w:styleId="af4">
    <w:name w:val="Hyperlink"/>
    <w:uiPriority w:val="99"/>
    <w:unhideWhenUsed/>
    <w:qFormat/>
    <w:rPr>
      <w:color w:val="0563C1"/>
      <w:u w:val="single"/>
    </w:rPr>
  </w:style>
  <w:style w:type="character" w:styleId="af5">
    <w:name w:val="annotation reference"/>
    <w:uiPriority w:val="99"/>
    <w:unhideWhenUsed/>
    <w:qFormat/>
    <w:rPr>
      <w:sz w:val="21"/>
      <w:szCs w:val="21"/>
    </w:rPr>
  </w:style>
  <w:style w:type="table" w:styleId="af6">
    <w:name w:val="Table Grid"/>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2"/>
    <w:basedOn w:val="a"/>
    <w:link w:val="22"/>
    <w:qFormat/>
    <w:pPr>
      <w:ind w:firstLineChars="0" w:firstLine="0"/>
      <w:outlineLvl w:val="1"/>
    </w:pPr>
    <w:rPr>
      <w:rFonts w:cs="Times New Roman"/>
      <w:b/>
      <w:kern w:val="0"/>
      <w:sz w:val="28"/>
      <w:szCs w:val="20"/>
    </w:rPr>
  </w:style>
  <w:style w:type="paragraph" w:customStyle="1" w:styleId="15">
    <w:name w:val="列表段落1"/>
    <w:basedOn w:val="a"/>
    <w:uiPriority w:val="99"/>
    <w:qFormat/>
    <w:pPr>
      <w:widowControl/>
      <w:spacing w:line="240" w:lineRule="auto"/>
      <w:ind w:firstLine="420"/>
      <w:jc w:val="left"/>
    </w:pPr>
    <w:rPr>
      <w:rFonts w:ascii="宋体" w:hAnsi="宋体" w:cs="宋体"/>
      <w:kern w:val="0"/>
    </w:rPr>
  </w:style>
  <w:style w:type="paragraph" w:customStyle="1" w:styleId="Style15">
    <w:name w:val="_Style 15"/>
    <w:basedOn w:val="a"/>
    <w:next w:val="a"/>
    <w:uiPriority w:val="39"/>
    <w:unhideWhenUsed/>
    <w:qFormat/>
    <w:pPr>
      <w:widowControl/>
      <w:spacing w:before="120" w:line="240" w:lineRule="auto"/>
      <w:ind w:firstLineChars="0" w:firstLine="0"/>
      <w:jc w:val="left"/>
    </w:pPr>
    <w:rPr>
      <w:rFonts w:ascii="等线" w:eastAsia="等线" w:hAnsi="宋体" w:cs="宋体"/>
      <w:b/>
      <w:bCs/>
      <w:i/>
      <w:iCs/>
      <w:kern w:val="0"/>
    </w:rPr>
  </w:style>
  <w:style w:type="paragraph" w:customStyle="1" w:styleId="TableParagraph">
    <w:name w:val="Table Paragraph"/>
    <w:basedOn w:val="a"/>
    <w:uiPriority w:val="1"/>
    <w:qFormat/>
    <w:pPr>
      <w:widowControl/>
      <w:spacing w:line="240" w:lineRule="auto"/>
      <w:ind w:firstLineChars="0" w:firstLine="0"/>
      <w:jc w:val="left"/>
    </w:pPr>
    <w:rPr>
      <w:rFonts w:ascii="宋体" w:hAnsi="宋体" w:cs="宋体"/>
      <w:kern w:val="0"/>
    </w:rPr>
  </w:style>
  <w:style w:type="paragraph" w:customStyle="1" w:styleId="WPSOffice1">
    <w:name w:val="WPSOffice手动目录 1"/>
    <w:qFormat/>
  </w:style>
  <w:style w:type="paragraph" w:customStyle="1" w:styleId="111">
    <w:name w:val="111"/>
    <w:basedOn w:val="15"/>
    <w:qFormat/>
    <w:pPr>
      <w:numPr>
        <w:numId w:val="1"/>
      </w:numPr>
      <w:adjustRightInd w:val="0"/>
      <w:snapToGrid w:val="0"/>
      <w:ind w:left="851" w:firstLineChars="0" w:hanging="425"/>
      <w:jc w:val="both"/>
    </w:pPr>
    <w:rPr>
      <w:rFonts w:ascii="Times New Roman" w:eastAsia="仿宋_GB2312" w:hAnsi="Times New Roman" w:cs="Times New Roman"/>
      <w:color w:val="000000"/>
      <w:sz w:val="28"/>
      <w:szCs w:val="28"/>
    </w:rPr>
  </w:style>
  <w:style w:type="paragraph" w:customStyle="1" w:styleId="WPSOffice2">
    <w:name w:val="WPSOffice手动目录 2"/>
    <w:qFormat/>
    <w:pPr>
      <w:ind w:leftChars="200" w:left="200"/>
    </w:pPr>
  </w:style>
  <w:style w:type="paragraph" w:customStyle="1" w:styleId="TOC11">
    <w:name w:val="TOC 标题11"/>
    <w:basedOn w:val="1"/>
    <w:next w:val="a"/>
    <w:uiPriority w:val="39"/>
    <w:unhideWhenUsed/>
    <w:qFormat/>
    <w:pPr>
      <w:widowControl/>
      <w:spacing w:beforeLines="50" w:before="240" w:afterLines="50" w:line="259" w:lineRule="auto"/>
      <w:jc w:val="left"/>
      <w:outlineLvl w:val="9"/>
    </w:pPr>
    <w:rPr>
      <w:rFonts w:ascii="等线 Light" w:eastAsia="等线 Light" w:hAnsi="等线 Light" w:cs="Times New Roman"/>
      <w:b w:val="0"/>
      <w:bCs w:val="0"/>
      <w:color w:val="2F5496"/>
      <w:kern w:val="0"/>
      <w:szCs w:val="32"/>
    </w:rPr>
  </w:style>
  <w:style w:type="paragraph" w:customStyle="1" w:styleId="16">
    <w:name w:val="列出段落1"/>
    <w:basedOn w:val="a"/>
    <w:uiPriority w:val="99"/>
    <w:qFormat/>
    <w:pPr>
      <w:widowControl/>
      <w:spacing w:line="240" w:lineRule="auto"/>
      <w:ind w:firstLine="420"/>
      <w:jc w:val="left"/>
    </w:pPr>
    <w:rPr>
      <w:rFonts w:ascii="宋体" w:hAnsi="宋体" w:cs="宋体"/>
      <w:kern w:val="0"/>
    </w:rPr>
  </w:style>
  <w:style w:type="paragraph" w:customStyle="1" w:styleId="23">
    <w:name w:val="列表段落2"/>
    <w:basedOn w:val="a"/>
    <w:uiPriority w:val="99"/>
    <w:qFormat/>
    <w:pPr>
      <w:widowControl/>
      <w:spacing w:line="240" w:lineRule="auto"/>
      <w:ind w:firstLine="420"/>
      <w:jc w:val="left"/>
    </w:pPr>
    <w:rPr>
      <w:rFonts w:ascii="宋体" w:hAnsi="宋体" w:cs="宋体"/>
      <w:kern w:val="0"/>
    </w:rPr>
  </w:style>
  <w:style w:type="paragraph" w:customStyle="1" w:styleId="WPSOffice3">
    <w:name w:val="WPSOffice手动目录 3"/>
    <w:qFormat/>
    <w:pPr>
      <w:ind w:leftChars="400" w:left="400"/>
    </w:pPr>
  </w:style>
  <w:style w:type="paragraph" w:customStyle="1" w:styleId="TOC10">
    <w:name w:val="TOC 标题1"/>
    <w:basedOn w:val="1"/>
    <w:next w:val="a"/>
    <w:uiPriority w:val="39"/>
    <w:qFormat/>
    <w:pPr>
      <w:widowControl/>
      <w:spacing w:beforeLines="50" w:before="480" w:afterLines="50" w:line="276" w:lineRule="auto"/>
      <w:jc w:val="left"/>
      <w:outlineLvl w:val="9"/>
    </w:pPr>
    <w:rPr>
      <w:rFonts w:ascii="等线 Light" w:eastAsia="等线 Light" w:hAnsi="等线 Light" w:cs="Times New Roman"/>
      <w:color w:val="2F5496"/>
      <w:kern w:val="0"/>
      <w:sz w:val="28"/>
      <w:szCs w:val="28"/>
    </w:rPr>
  </w:style>
  <w:style w:type="paragraph" w:customStyle="1" w:styleId="TOC12">
    <w:name w:val="TOC 标题1"/>
    <w:basedOn w:val="1"/>
    <w:next w:val="a"/>
    <w:uiPriority w:val="39"/>
    <w:unhideWhenUsed/>
    <w:qFormat/>
    <w:pPr>
      <w:widowControl/>
      <w:spacing w:beforeLines="50" w:before="480" w:afterLines="50" w:line="276" w:lineRule="auto"/>
      <w:jc w:val="left"/>
      <w:outlineLvl w:val="9"/>
    </w:pPr>
    <w:rPr>
      <w:rFonts w:ascii="等线 Light" w:eastAsia="等线 Light" w:hAnsi="等线 Light" w:cs="Times New Roman"/>
      <w:color w:val="2F5496"/>
      <w:kern w:val="0"/>
      <w:sz w:val="28"/>
      <w:szCs w:val="28"/>
    </w:rPr>
  </w:style>
  <w:style w:type="paragraph" w:customStyle="1" w:styleId="TOC20">
    <w:name w:val="TOC 标题2"/>
    <w:basedOn w:val="1"/>
    <w:next w:val="a"/>
    <w:uiPriority w:val="39"/>
    <w:unhideWhenUsed/>
    <w:qFormat/>
    <w:pPr>
      <w:spacing w:beforeLines="50" w:before="340" w:afterLines="50" w:after="330" w:line="578" w:lineRule="auto"/>
      <w:outlineLvl w:val="9"/>
    </w:pPr>
    <w:rPr>
      <w:rFonts w:ascii="等线" w:eastAsia="等线" w:hAnsi="等线" w:cs="Times New Roman"/>
      <w:sz w:val="44"/>
    </w:rPr>
  </w:style>
  <w:style w:type="paragraph" w:customStyle="1" w:styleId="2-21">
    <w:name w:val="中等深浅列表 2 - 着色 21"/>
    <w:basedOn w:val="a"/>
    <w:qFormat/>
    <w:pPr>
      <w:widowControl/>
      <w:spacing w:line="240" w:lineRule="auto"/>
      <w:ind w:firstLineChars="0" w:firstLine="0"/>
      <w:jc w:val="left"/>
    </w:pPr>
    <w:rPr>
      <w:rFonts w:cs="Times New Roman"/>
      <w:sz w:val="21"/>
      <w:szCs w:val="21"/>
    </w:rPr>
  </w:style>
  <w:style w:type="paragraph" w:customStyle="1" w:styleId="31">
    <w:name w:val="列表段落3"/>
    <w:basedOn w:val="a"/>
    <w:uiPriority w:val="99"/>
    <w:qFormat/>
    <w:pPr>
      <w:widowControl/>
      <w:spacing w:line="240" w:lineRule="auto"/>
      <w:ind w:firstLine="420"/>
      <w:jc w:val="left"/>
    </w:pPr>
    <w:rPr>
      <w:rFonts w:ascii="宋体" w:hAnsi="宋体" w:cs="宋体"/>
      <w:kern w:val="0"/>
    </w:rPr>
  </w:style>
  <w:style w:type="paragraph" w:customStyle="1" w:styleId="17">
    <w:name w:val="修订1"/>
    <w:hidden/>
    <w:uiPriority w:val="99"/>
    <w:semiHidden/>
    <w:rPr>
      <w:rFonts w:cs="黑体"/>
      <w:kern w:val="2"/>
      <w:sz w:val="24"/>
      <w:szCs w:val="24"/>
    </w:rPr>
  </w:style>
  <w:style w:type="character" w:customStyle="1" w:styleId="30">
    <w:name w:val="标题 3 字符"/>
    <w:basedOn w:val="a0"/>
    <w:link w:val="3"/>
    <w:rPr>
      <w:rFonts w:ascii="Times New Roman" w:eastAsia="宋体" w:hAnsi="Times New Roman" w:cs="黑体"/>
      <w:b/>
      <w:bCs/>
      <w:sz w:val="24"/>
      <w:szCs w:val="32"/>
    </w:rPr>
  </w:style>
  <w:style w:type="character" w:customStyle="1" w:styleId="10">
    <w:name w:val="标题 1 字符"/>
    <w:basedOn w:val="a0"/>
    <w:link w:val="1"/>
    <w:uiPriority w:val="9"/>
    <w:rPr>
      <w:rFonts w:ascii="Times New Roman" w:eastAsia="黑体" w:hAnsi="Times New Roman" w:cs="黑体"/>
      <w:b/>
      <w:bCs/>
      <w:kern w:val="44"/>
      <w:sz w:val="32"/>
      <w:szCs w:val="44"/>
    </w:rPr>
  </w:style>
  <w:style w:type="character" w:customStyle="1" w:styleId="20">
    <w:name w:val="标题 2 字符"/>
    <w:basedOn w:val="a0"/>
    <w:link w:val="2"/>
    <w:uiPriority w:val="9"/>
    <w:semiHidden/>
    <w:rPr>
      <w:rFonts w:ascii="等线 Light" w:eastAsia="等线 Light" w:hAnsi="等线 Light" w:cs="黑体"/>
      <w:b/>
      <w:bCs/>
      <w:sz w:val="32"/>
      <w:szCs w:val="32"/>
    </w:rPr>
  </w:style>
  <w:style w:type="character" w:customStyle="1" w:styleId="41">
    <w:name w:val="标题 4 字符1"/>
    <w:link w:val="4"/>
    <w:uiPriority w:val="9"/>
    <w:qFormat/>
    <w:rPr>
      <w:rFonts w:ascii="等线 Light" w:eastAsia="等线 Light" w:hAnsi="等线 Light" w:cs="Times New Roman"/>
      <w:b/>
      <w:bCs/>
      <w:kern w:val="0"/>
      <w:sz w:val="28"/>
      <w:szCs w:val="2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rFonts w:ascii="Times New Roman" w:eastAsia="宋体" w:hAnsi="Times New Roman" w:cs="黑体"/>
      <w:sz w:val="18"/>
      <w:szCs w:val="18"/>
    </w:rPr>
  </w:style>
  <w:style w:type="character" w:customStyle="1" w:styleId="22">
    <w:name w:val="标题2 字符"/>
    <w:aliases w:val="二级标题 字符"/>
    <w:link w:val="21"/>
    <w:qFormat/>
    <w:rPr>
      <w:rFonts w:ascii="Times New Roman" w:eastAsia="宋体" w:hAnsi="Times New Roman" w:cs="Times New Roman"/>
      <w:b/>
      <w:kern w:val="0"/>
      <w:sz w:val="28"/>
      <w:szCs w:val="20"/>
    </w:rPr>
  </w:style>
  <w:style w:type="character" w:customStyle="1" w:styleId="40">
    <w:name w:val="标题 4 字符"/>
    <w:basedOn w:val="a0"/>
    <w:uiPriority w:val="9"/>
    <w:semiHidden/>
    <w:rPr>
      <w:rFonts w:ascii="等线 Light" w:eastAsia="等线 Light" w:hAnsi="等线 Light" w:cs="黑体"/>
      <w:b/>
      <w:bCs/>
      <w:sz w:val="28"/>
      <w:szCs w:val="28"/>
    </w:rPr>
  </w:style>
  <w:style w:type="character" w:customStyle="1" w:styleId="font11">
    <w:name w:val="font11"/>
    <w:qFormat/>
    <w:rPr>
      <w:rFonts w:ascii="宋体" w:eastAsia="宋体" w:hAnsi="宋体" w:cs="宋体" w:hint="eastAsia"/>
      <w:color w:val="000000"/>
      <w:sz w:val="22"/>
      <w:szCs w:val="22"/>
      <w:u w:val="none"/>
    </w:rPr>
  </w:style>
  <w:style w:type="character" w:customStyle="1" w:styleId="12">
    <w:name w:val="批注文字 字符1"/>
    <w:link w:val="a4"/>
    <w:qFormat/>
    <w:rPr>
      <w:rFonts w:ascii="Calibri" w:eastAsia="仿宋" w:hAnsi="Calibri" w:cs="Times New Roman"/>
      <w:kern w:val="0"/>
      <w:sz w:val="30"/>
      <w:szCs w:val="24"/>
    </w:rPr>
  </w:style>
  <w:style w:type="character" w:customStyle="1" w:styleId="1Char">
    <w:name w:val="标题 1 Char"/>
    <w:qFormat/>
    <w:rPr>
      <w:rFonts w:ascii="宋体" w:eastAsia="宋体" w:hAnsi="宋体" w:cs="宋体"/>
      <w:b/>
      <w:bCs/>
      <w:kern w:val="36"/>
      <w:sz w:val="32"/>
      <w:szCs w:val="48"/>
    </w:rPr>
  </w:style>
  <w:style w:type="character" w:customStyle="1" w:styleId="3Char">
    <w:name w:val="标题 3 Char"/>
    <w:uiPriority w:val="9"/>
    <w:qFormat/>
    <w:rPr>
      <w:rFonts w:ascii="宋体" w:eastAsia="方正仿宋简体" w:hAnsi="宋体" w:cs="宋体"/>
      <w:bCs/>
      <w:kern w:val="0"/>
      <w:sz w:val="32"/>
      <w:szCs w:val="32"/>
    </w:rPr>
  </w:style>
  <w:style w:type="character" w:customStyle="1" w:styleId="Char">
    <w:name w:val="批注框文本 Char"/>
    <w:uiPriority w:val="99"/>
    <w:qFormat/>
    <w:rPr>
      <w:rFonts w:ascii="宋体" w:eastAsia="宋体" w:hAnsi="宋体" w:cs="宋体"/>
      <w:kern w:val="0"/>
      <w:sz w:val="18"/>
      <w:szCs w:val="18"/>
    </w:rPr>
  </w:style>
  <w:style w:type="character" w:customStyle="1" w:styleId="18">
    <w:name w:val="未处理的提及1"/>
    <w:uiPriority w:val="99"/>
    <w:unhideWhenUsed/>
    <w:rPr>
      <w:color w:val="605E5C"/>
      <w:shd w:val="clear" w:color="auto" w:fill="E1DFDD"/>
    </w:rPr>
  </w:style>
  <w:style w:type="character" w:customStyle="1" w:styleId="110">
    <w:name w:val="未处理的提及11"/>
    <w:uiPriority w:val="99"/>
    <w:unhideWhenUsed/>
    <w:qFormat/>
    <w:rPr>
      <w:color w:val="605E5C"/>
      <w:shd w:val="clear" w:color="auto" w:fill="E1DFDD"/>
    </w:rPr>
  </w:style>
  <w:style w:type="character" w:customStyle="1" w:styleId="Char0">
    <w:name w:val="页眉 Char"/>
    <w:qFormat/>
    <w:rPr>
      <w:rFonts w:ascii="Calibri" w:eastAsia="仿宋" w:hAnsi="Calibri" w:cs="Times New Roman"/>
      <w:kern w:val="0"/>
      <w:sz w:val="18"/>
      <w:szCs w:val="24"/>
    </w:rPr>
  </w:style>
  <w:style w:type="character" w:customStyle="1" w:styleId="14">
    <w:name w:val="脚注文本 字符1"/>
    <w:link w:val="ad"/>
    <w:uiPriority w:val="99"/>
    <w:qFormat/>
    <w:rPr>
      <w:rFonts w:ascii="Calibri" w:eastAsia="仿宋" w:hAnsi="Calibri" w:cs="Times New Roman"/>
      <w:kern w:val="0"/>
      <w:sz w:val="18"/>
      <w:szCs w:val="24"/>
    </w:rPr>
  </w:style>
  <w:style w:type="character" w:customStyle="1" w:styleId="apple-converted-space">
    <w:name w:val="apple-converted-space"/>
    <w:basedOn w:val="a0"/>
    <w:qFormat/>
  </w:style>
  <w:style w:type="character" w:customStyle="1" w:styleId="13">
    <w:name w:val="日期 字符1"/>
    <w:link w:val="a6"/>
    <w:uiPriority w:val="99"/>
    <w:qFormat/>
    <w:rPr>
      <w:rFonts w:ascii="宋体" w:eastAsia="宋体" w:hAnsi="宋体" w:cs="宋体"/>
      <w:kern w:val="0"/>
      <w:sz w:val="24"/>
      <w:szCs w:val="24"/>
    </w:rPr>
  </w:style>
  <w:style w:type="character" w:customStyle="1" w:styleId="11">
    <w:name w:val="批注主题 字符1"/>
    <w:link w:val="a3"/>
    <w:uiPriority w:val="99"/>
    <w:qFormat/>
    <w:rPr>
      <w:rFonts w:ascii="等线" w:eastAsia="等线" w:hAnsi="等线" w:cs="Times New Roman"/>
      <w:b/>
      <w:bCs/>
      <w:kern w:val="0"/>
      <w:sz w:val="30"/>
      <w:szCs w:val="24"/>
    </w:rPr>
  </w:style>
  <w:style w:type="character" w:customStyle="1" w:styleId="24">
    <w:name w:val="未处理的提及2"/>
    <w:uiPriority w:val="99"/>
    <w:unhideWhenUsed/>
    <w:qFormat/>
    <w:rPr>
      <w:color w:val="605E5C"/>
      <w:shd w:val="clear" w:color="auto" w:fill="E1DFDD"/>
    </w:rPr>
  </w:style>
  <w:style w:type="character" w:customStyle="1" w:styleId="32">
    <w:name w:val="未处理的提及3"/>
    <w:uiPriority w:val="99"/>
    <w:unhideWhenUsed/>
    <w:qFormat/>
    <w:rPr>
      <w:color w:val="605E5C"/>
      <w:shd w:val="clear" w:color="auto" w:fill="E1DFDD"/>
    </w:rPr>
  </w:style>
  <w:style w:type="character" w:customStyle="1" w:styleId="2Char">
    <w:name w:val="标题 2 Char"/>
    <w:uiPriority w:val="9"/>
    <w:qFormat/>
    <w:rPr>
      <w:rFonts w:ascii="等线 Light" w:eastAsia="黑体" w:hAnsi="等线 Light" w:cs="Times New Roman"/>
      <w:bCs/>
      <w:kern w:val="0"/>
      <w:sz w:val="32"/>
      <w:szCs w:val="32"/>
    </w:rPr>
  </w:style>
  <w:style w:type="character" w:customStyle="1" w:styleId="Char1">
    <w:name w:val="页脚 Char"/>
    <w:uiPriority w:val="99"/>
    <w:qFormat/>
    <w:rPr>
      <w:rFonts w:ascii="Calibri" w:eastAsia="仿宋" w:hAnsi="Calibri" w:cs="Times New Roman"/>
      <w:kern w:val="0"/>
      <w:sz w:val="18"/>
      <w:szCs w:val="18"/>
    </w:rPr>
  </w:style>
  <w:style w:type="character" w:customStyle="1" w:styleId="af7">
    <w:name w:val="批注文字 字符"/>
    <w:basedOn w:val="a0"/>
    <w:uiPriority w:val="99"/>
    <w:semiHidden/>
    <w:rPr>
      <w:rFonts w:ascii="Times New Roman" w:eastAsia="宋体" w:hAnsi="Times New Roman" w:cs="黑体"/>
      <w:sz w:val="24"/>
      <w:szCs w:val="24"/>
    </w:rPr>
  </w:style>
  <w:style w:type="character" w:customStyle="1" w:styleId="af8">
    <w:name w:val="日期 字符"/>
    <w:basedOn w:val="a0"/>
    <w:uiPriority w:val="99"/>
    <w:semiHidden/>
    <w:rPr>
      <w:rFonts w:ascii="Times New Roman" w:eastAsia="宋体" w:hAnsi="Times New Roman" w:cs="黑体"/>
      <w:sz w:val="24"/>
      <w:szCs w:val="24"/>
    </w:rPr>
  </w:style>
  <w:style w:type="character" w:customStyle="1" w:styleId="af9">
    <w:name w:val="批注主题 字符"/>
    <w:basedOn w:val="af7"/>
    <w:uiPriority w:val="99"/>
    <w:semiHidden/>
    <w:rPr>
      <w:rFonts w:ascii="Times New Roman" w:eastAsia="宋体" w:hAnsi="Times New Roman" w:cs="黑体"/>
      <w:b/>
      <w:bCs/>
      <w:sz w:val="24"/>
      <w:szCs w:val="24"/>
    </w:rPr>
  </w:style>
  <w:style w:type="character" w:customStyle="1" w:styleId="afa">
    <w:name w:val="脚注文本 字符"/>
    <w:basedOn w:val="a0"/>
    <w:uiPriority w:val="99"/>
    <w:semiHidden/>
    <w:rPr>
      <w:rFonts w:ascii="Times New Roman" w:eastAsia="宋体" w:hAnsi="Times New Roman" w:cs="黑体"/>
      <w:sz w:val="18"/>
      <w:szCs w:val="18"/>
    </w:rPr>
  </w:style>
  <w:style w:type="character" w:customStyle="1" w:styleId="af0">
    <w:name w:val="标题 字符"/>
    <w:basedOn w:val="a0"/>
    <w:link w:val="af"/>
    <w:qFormat/>
    <w:rPr>
      <w:rFonts w:ascii="等线 Light" w:eastAsia="宋体" w:hAnsi="等线 Light" w:cs="Times New Roman"/>
      <w:b/>
      <w:bCs/>
      <w:spacing w:val="-3"/>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3339</Words>
  <Characters>19035</Characters>
  <Application>Microsoft Office Word</Application>
  <DocSecurity>0</DocSecurity>
  <Lines>158</Lines>
  <Paragraphs>44</Paragraphs>
  <ScaleCrop>false</ScaleCrop>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中国环境科学研究院</dc:title>
  <dc:creator>User</dc:creator>
  <cp:lastModifiedBy>Lenovo</cp:lastModifiedBy>
  <cp:revision>2</cp:revision>
  <cp:lastPrinted>2022-04-25T02:08:00Z</cp:lastPrinted>
  <dcterms:created xsi:type="dcterms:W3CDTF">2022-05-12T01:31:00Z</dcterms:created>
  <dcterms:modified xsi:type="dcterms:W3CDTF">2022-09-26T03:18:00Z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