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3D41A">
      <w:pPr>
        <w:widowControl/>
        <w:shd w:val="clear" w:color="auto" w:fill="FFFFFF"/>
        <w:spacing w:line="560" w:lineRule="exact"/>
        <w:jc w:val="both"/>
        <w:outlineLvl w:val="1"/>
        <w:rPr>
          <w:rFonts w:hint="eastAsia" w:ascii="黑体" w:hAnsi="黑体" w:eastAsia="黑体" w:cs="黑体"/>
          <w:color w:val="2B2E33"/>
          <w:kern w:val="0"/>
          <w:sz w:val="28"/>
          <w:szCs w:val="28"/>
          <w:lang w:val="en-US" w:eastAsia="zh-CN"/>
        </w:rPr>
      </w:pPr>
      <w:r>
        <w:rPr>
          <w:rFonts w:hint="eastAsia" w:ascii="黑体" w:hAnsi="黑体" w:eastAsia="黑体" w:cs="黑体"/>
          <w:color w:val="2B2E33"/>
          <w:kern w:val="0"/>
          <w:sz w:val="28"/>
          <w:szCs w:val="28"/>
          <w:lang w:val="en-US" w:eastAsia="zh-CN"/>
        </w:rPr>
        <w:t>附件1</w:t>
      </w:r>
    </w:p>
    <w:p w14:paraId="187CE80B">
      <w:pPr>
        <w:widowControl/>
        <w:shd w:val="clear" w:color="auto" w:fill="FFFFFF"/>
        <w:spacing w:line="560" w:lineRule="exact"/>
        <w:jc w:val="center"/>
        <w:outlineLvl w:val="1"/>
        <w:rPr>
          <w:rFonts w:ascii="方正小标宋简体" w:hAnsi="Helvetica" w:eastAsia="方正小标宋简体" w:cs="Helvetica"/>
          <w:color w:val="2B2E33"/>
          <w:kern w:val="0"/>
          <w:sz w:val="44"/>
          <w:szCs w:val="44"/>
        </w:rPr>
      </w:pPr>
      <w:r>
        <w:rPr>
          <w:rFonts w:hint="eastAsia" w:ascii="方正小标宋简体" w:hAnsi="Helvetica" w:eastAsia="方正小标宋简体" w:cs="Helvetica"/>
          <w:color w:val="2B2E33"/>
          <w:kern w:val="0"/>
          <w:sz w:val="44"/>
          <w:szCs w:val="44"/>
        </w:rPr>
        <w:t>中国环境科学研究院</w:t>
      </w:r>
    </w:p>
    <w:p w14:paraId="3F3EB46E">
      <w:pPr>
        <w:widowControl/>
        <w:shd w:val="clear" w:color="auto" w:fill="FFFFFF"/>
        <w:spacing w:line="560" w:lineRule="exact"/>
        <w:jc w:val="center"/>
        <w:outlineLvl w:val="1"/>
        <w:rPr>
          <w:rFonts w:ascii="方正小标宋简体" w:hAnsi="Helvetica" w:eastAsia="方正小标宋简体" w:cs="Helvetica"/>
          <w:color w:val="2B2E33"/>
          <w:kern w:val="0"/>
          <w:sz w:val="44"/>
          <w:szCs w:val="44"/>
        </w:rPr>
      </w:pPr>
      <w:r>
        <w:rPr>
          <w:rFonts w:hint="eastAsia" w:ascii="方正小标宋简体" w:hAnsi="Helvetica" w:eastAsia="方正小标宋简体" w:cs="Helvetica"/>
          <w:color w:val="2B2E33"/>
          <w:kern w:val="0"/>
          <w:sz w:val="44"/>
          <w:szCs w:val="44"/>
        </w:rPr>
        <w:t>2025年硕士研究生招生复试录取工作方案</w:t>
      </w:r>
    </w:p>
    <w:p w14:paraId="673C48A3">
      <w:pPr>
        <w:widowControl/>
        <w:shd w:val="clear" w:color="auto" w:fill="FFFFFF"/>
        <w:spacing w:line="560" w:lineRule="exact"/>
        <w:jc w:val="center"/>
        <w:outlineLvl w:val="1"/>
        <w:rPr>
          <w:rFonts w:ascii="方正小标宋简体" w:hAnsi="Helvetica" w:eastAsia="方正小标宋简体" w:cs="Helvetica"/>
          <w:color w:val="2B2E33"/>
          <w:kern w:val="0"/>
          <w:sz w:val="44"/>
          <w:szCs w:val="44"/>
        </w:rPr>
      </w:pPr>
    </w:p>
    <w:p w14:paraId="3F0B21FB">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为做好中国环境科学研究院（以下简称中国环科院）2025年硕士研究生招生考试复试工作（以下简称复试），规范复试流程，确保招生公平，根据教育部、北京市教育考试院有关文件精神，特制定本方案。</w:t>
      </w:r>
    </w:p>
    <w:p w14:paraId="0814FB79">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一、复试原则</w:t>
      </w:r>
    </w:p>
    <w:p w14:paraId="29237E84">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复试工作坚持科学选拔、公开公平公正、全面衡量、择优录取、宁缺毋滥的原则，坚决抵制各种不正之风。</w:t>
      </w:r>
    </w:p>
    <w:p w14:paraId="49ADDC95">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二、组织管理</w:t>
      </w:r>
    </w:p>
    <w:p w14:paraId="51B949BF">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工作在中国环科院招生工作领导小组的领导下进行。按照学科专业成立复试专家组（成员不少于5人，由研究生导师组成），在领导小组指导下开展具体复试工作。研究生院负责具体指导、协调招生复试与录取工作。</w:t>
      </w:r>
    </w:p>
    <w:p w14:paraId="0D310C1C">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三、复试条件</w:t>
      </w:r>
    </w:p>
    <w:p w14:paraId="173B91D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1</w:t>
      </w:r>
      <w:r>
        <w:rPr>
          <w:rFonts w:ascii="仿宋_GB2312" w:hAnsi="Helvetica" w:eastAsia="仿宋_GB2312" w:cs="Helvetica"/>
          <w:color w:val="2B2E33"/>
          <w:sz w:val="32"/>
          <w:szCs w:val="32"/>
        </w:rPr>
        <w:t>.</w:t>
      </w:r>
      <w:r>
        <w:rPr>
          <w:rFonts w:hint="eastAsia" w:ascii="仿宋_GB2312" w:hAnsi="Helvetica" w:eastAsia="仿宋_GB2312" w:cs="Helvetica"/>
          <w:color w:val="2B2E33"/>
          <w:sz w:val="32"/>
          <w:szCs w:val="32"/>
        </w:rPr>
        <w:t>参加复试的考生必须达到国家分数线标准（单科和总分），并符合我院自行划定的复试分数线，且资格审查合格。凡未达到复试分数线或资格审查不合格者，一律不得参加复试。</w:t>
      </w:r>
    </w:p>
    <w:p w14:paraId="3E3082D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2</w:t>
      </w:r>
      <w:r>
        <w:rPr>
          <w:rFonts w:ascii="仿宋_GB2312" w:hAnsi="Helvetica" w:eastAsia="仿宋_GB2312" w:cs="Helvetica"/>
          <w:color w:val="2B2E33"/>
          <w:sz w:val="32"/>
          <w:szCs w:val="32"/>
        </w:rPr>
        <w:t>.</w:t>
      </w:r>
      <w:r>
        <w:rPr>
          <w:rFonts w:hint="eastAsia" w:ascii="仿宋_GB2312" w:hAnsi="Helvetica" w:eastAsia="仿宋_GB2312" w:cs="Helvetica"/>
          <w:color w:val="2B2E33"/>
          <w:sz w:val="32"/>
          <w:szCs w:val="32"/>
        </w:rPr>
        <w:t>考生进入复试的初试成绩（含调剂）要求如下：</w:t>
      </w:r>
    </w:p>
    <w:tbl>
      <w:tblPr>
        <w:tblStyle w:val="7"/>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6"/>
        <w:gridCol w:w="2498"/>
        <w:gridCol w:w="1873"/>
      </w:tblGrid>
      <w:tr w14:paraId="16FE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jc w:val="center"/>
        </w:trPr>
        <w:tc>
          <w:tcPr>
            <w:tcW w:w="4216" w:type="dxa"/>
            <w:vAlign w:val="center"/>
          </w:tcPr>
          <w:p w14:paraId="7371C03D">
            <w:pPr>
              <w:pStyle w:val="5"/>
              <w:spacing w:before="0" w:beforeAutospacing="0" w:after="0" w:afterAutospacing="0" w:line="560" w:lineRule="exact"/>
              <w:jc w:val="center"/>
              <w:rPr>
                <w:rFonts w:hint="eastAsia" w:ascii="黑体" w:hAnsi="黑体" w:eastAsia="黑体" w:cs="Helvetica"/>
                <w:color w:val="2B2E33"/>
                <w:sz w:val="28"/>
                <w:szCs w:val="28"/>
              </w:rPr>
            </w:pPr>
            <w:r>
              <w:rPr>
                <w:rFonts w:hint="eastAsia" w:ascii="黑体" w:hAnsi="黑体" w:eastAsia="黑体" w:cs="Helvetica"/>
                <w:color w:val="2B2E33"/>
                <w:sz w:val="28"/>
                <w:szCs w:val="28"/>
              </w:rPr>
              <w:t>专业名称</w:t>
            </w:r>
          </w:p>
        </w:tc>
        <w:tc>
          <w:tcPr>
            <w:tcW w:w="2498" w:type="dxa"/>
            <w:vAlign w:val="center"/>
          </w:tcPr>
          <w:p w14:paraId="6DE8CC9C">
            <w:pPr>
              <w:pStyle w:val="5"/>
              <w:spacing w:before="0" w:beforeAutospacing="0" w:after="0" w:afterAutospacing="0" w:line="560" w:lineRule="exact"/>
              <w:jc w:val="center"/>
              <w:rPr>
                <w:rFonts w:hint="eastAsia" w:ascii="黑体" w:hAnsi="黑体" w:eastAsia="黑体" w:cs="Helvetica"/>
                <w:color w:val="2B2E33"/>
                <w:sz w:val="28"/>
                <w:szCs w:val="28"/>
              </w:rPr>
            </w:pPr>
            <w:r>
              <w:rPr>
                <w:rFonts w:hint="eastAsia" w:ascii="黑体" w:hAnsi="黑体" w:eastAsia="黑体" w:cs="Helvetica"/>
                <w:color w:val="2B2E33"/>
                <w:sz w:val="28"/>
                <w:szCs w:val="28"/>
              </w:rPr>
              <w:t>一志愿分数线</w:t>
            </w:r>
          </w:p>
        </w:tc>
        <w:tc>
          <w:tcPr>
            <w:tcW w:w="1873" w:type="dxa"/>
            <w:vAlign w:val="center"/>
          </w:tcPr>
          <w:p w14:paraId="6A893F0D">
            <w:pPr>
              <w:pStyle w:val="5"/>
              <w:spacing w:before="0" w:beforeAutospacing="0" w:after="0" w:afterAutospacing="0" w:line="560" w:lineRule="exact"/>
              <w:jc w:val="center"/>
              <w:rPr>
                <w:rFonts w:hint="eastAsia" w:ascii="黑体" w:hAnsi="黑体" w:eastAsia="黑体" w:cs="Helvetica"/>
                <w:color w:val="2B2E33"/>
                <w:sz w:val="28"/>
                <w:szCs w:val="28"/>
              </w:rPr>
            </w:pPr>
            <w:r>
              <w:rPr>
                <w:rFonts w:hint="eastAsia" w:ascii="黑体" w:hAnsi="黑体" w:eastAsia="黑体" w:cs="Helvetica"/>
                <w:color w:val="2B2E33"/>
                <w:sz w:val="28"/>
                <w:szCs w:val="28"/>
              </w:rPr>
              <w:t>调剂分数线</w:t>
            </w:r>
          </w:p>
        </w:tc>
      </w:tr>
      <w:tr w14:paraId="412C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6" w:type="dxa"/>
            <w:vAlign w:val="center"/>
          </w:tcPr>
          <w:p w14:paraId="3780235F">
            <w:pPr>
              <w:pStyle w:val="5"/>
              <w:spacing w:before="0" w:beforeAutospacing="0" w:after="0" w:afterAutospacing="0" w:line="56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环境科学（0</w:t>
            </w:r>
            <w:r>
              <w:rPr>
                <w:rFonts w:ascii="仿宋_GB2312" w:hAnsi="Helvetica" w:eastAsia="仿宋_GB2312" w:cs="Helvetica"/>
                <w:color w:val="2B2E33"/>
                <w:sz w:val="28"/>
                <w:szCs w:val="28"/>
              </w:rPr>
              <w:t>83001</w:t>
            </w:r>
            <w:r>
              <w:rPr>
                <w:rFonts w:hint="eastAsia" w:ascii="仿宋_GB2312" w:hAnsi="Helvetica" w:eastAsia="仿宋_GB2312" w:cs="Helvetica"/>
                <w:color w:val="2B2E33"/>
                <w:sz w:val="28"/>
                <w:szCs w:val="28"/>
              </w:rPr>
              <w:t>）</w:t>
            </w:r>
          </w:p>
        </w:tc>
        <w:tc>
          <w:tcPr>
            <w:tcW w:w="2498" w:type="dxa"/>
            <w:vMerge w:val="restart"/>
            <w:vAlign w:val="center"/>
          </w:tcPr>
          <w:p w14:paraId="49D9BCCB">
            <w:pPr>
              <w:pStyle w:val="5"/>
              <w:spacing w:before="0" w:beforeAutospacing="0" w:after="0" w:afterAutospacing="0" w:line="560" w:lineRule="exact"/>
              <w:jc w:val="center"/>
              <w:rPr>
                <w:rFonts w:ascii="仿宋_GB2312" w:hAnsi="Helvetica" w:eastAsia="仿宋_GB2312" w:cs="Helvetica"/>
                <w:color w:val="2B2E33"/>
                <w:sz w:val="28"/>
                <w:szCs w:val="28"/>
              </w:rPr>
            </w:pPr>
            <w:r>
              <w:rPr>
                <w:rFonts w:hint="eastAsia" w:cs="Helvetica"/>
                <w:color w:val="2B2E33"/>
                <w:sz w:val="28"/>
                <w:szCs w:val="28"/>
              </w:rPr>
              <w:t>≥</w:t>
            </w:r>
            <w:r>
              <w:rPr>
                <w:rFonts w:hint="eastAsia" w:ascii="仿宋_GB2312" w:hAnsi="Helvetica" w:eastAsia="仿宋_GB2312" w:cs="Helvetica"/>
                <w:color w:val="2B2E33"/>
                <w:sz w:val="28"/>
                <w:szCs w:val="28"/>
              </w:rPr>
              <w:t>2</w:t>
            </w:r>
            <w:r>
              <w:rPr>
                <w:rFonts w:ascii="仿宋_GB2312" w:hAnsi="Helvetica" w:eastAsia="仿宋_GB2312" w:cs="Helvetica"/>
                <w:color w:val="2B2E33"/>
                <w:sz w:val="28"/>
                <w:szCs w:val="28"/>
              </w:rPr>
              <w:t>80</w:t>
            </w:r>
          </w:p>
        </w:tc>
        <w:tc>
          <w:tcPr>
            <w:tcW w:w="1873" w:type="dxa"/>
            <w:vMerge w:val="restart"/>
            <w:vAlign w:val="center"/>
          </w:tcPr>
          <w:p w14:paraId="1E51CA75">
            <w:pPr>
              <w:pStyle w:val="5"/>
              <w:spacing w:before="0" w:beforeAutospacing="0" w:after="0" w:afterAutospacing="0" w:line="560" w:lineRule="exact"/>
              <w:jc w:val="center"/>
              <w:rPr>
                <w:rFonts w:hint="eastAsia" w:cs="Helvetica"/>
                <w:color w:val="2B2E33"/>
                <w:sz w:val="28"/>
                <w:szCs w:val="28"/>
              </w:rPr>
            </w:pPr>
            <w:r>
              <w:rPr>
                <w:rFonts w:hint="eastAsia" w:cs="Helvetica"/>
                <w:color w:val="2B2E33"/>
                <w:sz w:val="28"/>
                <w:szCs w:val="28"/>
              </w:rPr>
              <w:t>≥</w:t>
            </w:r>
            <w:r>
              <w:rPr>
                <w:rFonts w:hint="eastAsia" w:ascii="仿宋_GB2312" w:hAnsi="Helvetica" w:eastAsia="仿宋_GB2312" w:cs="Helvetica"/>
                <w:color w:val="2B2E33"/>
                <w:sz w:val="28"/>
                <w:szCs w:val="28"/>
              </w:rPr>
              <w:t>2</w:t>
            </w:r>
            <w:r>
              <w:rPr>
                <w:rFonts w:ascii="仿宋_GB2312" w:hAnsi="Helvetica" w:eastAsia="仿宋_GB2312" w:cs="Helvetica"/>
                <w:color w:val="2B2E33"/>
                <w:sz w:val="28"/>
                <w:szCs w:val="28"/>
              </w:rPr>
              <w:t>90</w:t>
            </w:r>
          </w:p>
        </w:tc>
      </w:tr>
      <w:tr w14:paraId="1C2A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16" w:type="dxa"/>
            <w:vAlign w:val="center"/>
          </w:tcPr>
          <w:p w14:paraId="63CED0B3">
            <w:pPr>
              <w:pStyle w:val="5"/>
              <w:spacing w:before="0" w:beforeAutospacing="0" w:after="0" w:afterAutospacing="0" w:line="56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环境工程（0</w:t>
            </w:r>
            <w:r>
              <w:rPr>
                <w:rFonts w:ascii="仿宋_GB2312" w:hAnsi="Helvetica" w:eastAsia="仿宋_GB2312" w:cs="Helvetica"/>
                <w:color w:val="2B2E33"/>
                <w:sz w:val="28"/>
                <w:szCs w:val="28"/>
              </w:rPr>
              <w:t>83002</w:t>
            </w:r>
            <w:r>
              <w:rPr>
                <w:rFonts w:hint="eastAsia" w:ascii="仿宋_GB2312" w:hAnsi="Helvetica" w:eastAsia="仿宋_GB2312" w:cs="Helvetica"/>
                <w:color w:val="2B2E33"/>
                <w:sz w:val="28"/>
                <w:szCs w:val="28"/>
              </w:rPr>
              <w:t>）</w:t>
            </w:r>
          </w:p>
        </w:tc>
        <w:tc>
          <w:tcPr>
            <w:tcW w:w="2498" w:type="dxa"/>
            <w:vMerge w:val="continue"/>
            <w:vAlign w:val="center"/>
          </w:tcPr>
          <w:p w14:paraId="1029518D">
            <w:pPr>
              <w:pStyle w:val="5"/>
              <w:spacing w:before="0" w:beforeAutospacing="0" w:after="0" w:afterAutospacing="0" w:line="560" w:lineRule="exact"/>
              <w:jc w:val="center"/>
              <w:rPr>
                <w:rFonts w:ascii="仿宋_GB2312" w:hAnsi="Helvetica" w:eastAsia="仿宋_GB2312" w:cs="Helvetica"/>
                <w:color w:val="2B2E33"/>
                <w:sz w:val="28"/>
                <w:szCs w:val="28"/>
              </w:rPr>
            </w:pPr>
          </w:p>
        </w:tc>
        <w:tc>
          <w:tcPr>
            <w:tcW w:w="1873" w:type="dxa"/>
            <w:vMerge w:val="continue"/>
            <w:vAlign w:val="center"/>
          </w:tcPr>
          <w:p w14:paraId="595D6B70">
            <w:pPr>
              <w:pStyle w:val="5"/>
              <w:spacing w:before="0" w:beforeAutospacing="0" w:after="0" w:afterAutospacing="0" w:line="560" w:lineRule="exact"/>
              <w:jc w:val="center"/>
              <w:rPr>
                <w:rFonts w:hint="eastAsia" w:cs="Helvetica"/>
                <w:color w:val="2B2E33"/>
                <w:sz w:val="28"/>
                <w:szCs w:val="28"/>
              </w:rPr>
            </w:pPr>
          </w:p>
        </w:tc>
      </w:tr>
      <w:tr w14:paraId="69A4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6" w:type="dxa"/>
            <w:vAlign w:val="center"/>
          </w:tcPr>
          <w:p w14:paraId="1BB16701">
            <w:pPr>
              <w:pStyle w:val="5"/>
              <w:snapToGrid w:val="0"/>
              <w:spacing w:before="0" w:beforeAutospacing="0" w:after="0" w:afterAutospacing="0" w:line="40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大气物理学与大气环境（0</w:t>
            </w:r>
            <w:r>
              <w:rPr>
                <w:rFonts w:ascii="仿宋_GB2312" w:hAnsi="Helvetica" w:eastAsia="仿宋_GB2312" w:cs="Helvetica"/>
                <w:color w:val="2B2E33"/>
                <w:sz w:val="28"/>
                <w:szCs w:val="28"/>
              </w:rPr>
              <w:t>70602</w:t>
            </w:r>
            <w:r>
              <w:rPr>
                <w:rFonts w:hint="eastAsia" w:ascii="仿宋_GB2312" w:hAnsi="Helvetica" w:eastAsia="仿宋_GB2312" w:cs="Helvetica"/>
                <w:color w:val="2B2E33"/>
                <w:sz w:val="28"/>
                <w:szCs w:val="28"/>
              </w:rPr>
              <w:t>）</w:t>
            </w:r>
          </w:p>
        </w:tc>
        <w:tc>
          <w:tcPr>
            <w:tcW w:w="2498" w:type="dxa"/>
            <w:vMerge w:val="continue"/>
            <w:vAlign w:val="center"/>
          </w:tcPr>
          <w:p w14:paraId="7FC953E5">
            <w:pPr>
              <w:pStyle w:val="5"/>
              <w:spacing w:before="0" w:beforeAutospacing="0" w:after="0" w:afterAutospacing="0" w:line="560" w:lineRule="exact"/>
              <w:jc w:val="center"/>
              <w:rPr>
                <w:rFonts w:ascii="仿宋_GB2312" w:hAnsi="Helvetica" w:eastAsia="仿宋_GB2312" w:cs="Helvetica"/>
                <w:color w:val="2B2E33"/>
                <w:sz w:val="28"/>
                <w:szCs w:val="28"/>
              </w:rPr>
            </w:pPr>
          </w:p>
        </w:tc>
        <w:tc>
          <w:tcPr>
            <w:tcW w:w="1873" w:type="dxa"/>
            <w:vMerge w:val="continue"/>
            <w:vAlign w:val="center"/>
          </w:tcPr>
          <w:p w14:paraId="562B7CF8">
            <w:pPr>
              <w:pStyle w:val="5"/>
              <w:spacing w:before="0" w:beforeAutospacing="0" w:after="0" w:afterAutospacing="0" w:line="560" w:lineRule="exact"/>
              <w:jc w:val="center"/>
              <w:rPr>
                <w:rFonts w:hint="eastAsia" w:cs="Helvetica"/>
                <w:color w:val="2B2E33"/>
                <w:sz w:val="28"/>
                <w:szCs w:val="28"/>
              </w:rPr>
            </w:pPr>
          </w:p>
        </w:tc>
      </w:tr>
      <w:tr w14:paraId="3F47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16" w:type="dxa"/>
            <w:vAlign w:val="center"/>
          </w:tcPr>
          <w:p w14:paraId="676078C7">
            <w:pPr>
              <w:pStyle w:val="5"/>
              <w:snapToGrid w:val="0"/>
              <w:spacing w:before="0" w:beforeAutospacing="0" w:after="0" w:afterAutospacing="0" w:line="40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生态学（071300）</w:t>
            </w:r>
          </w:p>
        </w:tc>
        <w:tc>
          <w:tcPr>
            <w:tcW w:w="2498" w:type="dxa"/>
            <w:vMerge w:val="continue"/>
            <w:vAlign w:val="center"/>
          </w:tcPr>
          <w:p w14:paraId="7B06646C">
            <w:pPr>
              <w:pStyle w:val="5"/>
              <w:spacing w:before="0" w:beforeAutospacing="0" w:after="0" w:afterAutospacing="0" w:line="560" w:lineRule="exact"/>
              <w:jc w:val="center"/>
              <w:rPr>
                <w:rFonts w:ascii="仿宋_GB2312" w:hAnsi="Helvetica" w:eastAsia="仿宋_GB2312" w:cs="Helvetica"/>
                <w:color w:val="2B2E33"/>
                <w:sz w:val="28"/>
                <w:szCs w:val="28"/>
              </w:rPr>
            </w:pPr>
          </w:p>
        </w:tc>
        <w:tc>
          <w:tcPr>
            <w:tcW w:w="1873" w:type="dxa"/>
            <w:vMerge w:val="continue"/>
            <w:vAlign w:val="center"/>
          </w:tcPr>
          <w:p w14:paraId="2E75A165">
            <w:pPr>
              <w:pStyle w:val="5"/>
              <w:spacing w:before="0" w:beforeAutospacing="0" w:after="0" w:afterAutospacing="0" w:line="560" w:lineRule="exact"/>
              <w:jc w:val="center"/>
              <w:rPr>
                <w:rFonts w:hint="eastAsia" w:cs="Helvetica"/>
                <w:color w:val="2B2E33"/>
                <w:sz w:val="28"/>
                <w:szCs w:val="28"/>
              </w:rPr>
            </w:pPr>
          </w:p>
        </w:tc>
      </w:tr>
      <w:tr w14:paraId="722C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6" w:type="dxa"/>
            <w:vAlign w:val="center"/>
          </w:tcPr>
          <w:p w14:paraId="35F76C85">
            <w:pPr>
              <w:pStyle w:val="5"/>
              <w:spacing w:before="0" w:beforeAutospacing="0" w:after="0" w:afterAutospacing="0" w:line="56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生物学（0</w:t>
            </w:r>
            <w:r>
              <w:rPr>
                <w:rFonts w:ascii="仿宋_GB2312" w:hAnsi="Helvetica" w:eastAsia="仿宋_GB2312" w:cs="Helvetica"/>
                <w:color w:val="2B2E33"/>
                <w:sz w:val="28"/>
                <w:szCs w:val="28"/>
              </w:rPr>
              <w:t>71000</w:t>
            </w:r>
            <w:r>
              <w:rPr>
                <w:rFonts w:hint="eastAsia" w:ascii="仿宋_GB2312" w:hAnsi="Helvetica" w:eastAsia="仿宋_GB2312" w:cs="Helvetica"/>
                <w:color w:val="2B2E33"/>
                <w:sz w:val="28"/>
                <w:szCs w:val="28"/>
              </w:rPr>
              <w:t>）</w:t>
            </w:r>
          </w:p>
        </w:tc>
        <w:tc>
          <w:tcPr>
            <w:tcW w:w="2498" w:type="dxa"/>
            <w:vMerge w:val="continue"/>
            <w:vAlign w:val="center"/>
          </w:tcPr>
          <w:p w14:paraId="700B0786">
            <w:pPr>
              <w:pStyle w:val="5"/>
              <w:spacing w:before="0" w:beforeAutospacing="0" w:after="0" w:afterAutospacing="0" w:line="560" w:lineRule="exact"/>
              <w:jc w:val="center"/>
              <w:rPr>
                <w:rFonts w:ascii="仿宋_GB2312" w:hAnsi="Helvetica" w:eastAsia="仿宋_GB2312" w:cs="Helvetica"/>
                <w:color w:val="2B2E33"/>
                <w:sz w:val="28"/>
                <w:szCs w:val="28"/>
              </w:rPr>
            </w:pPr>
          </w:p>
        </w:tc>
        <w:tc>
          <w:tcPr>
            <w:tcW w:w="1873" w:type="dxa"/>
            <w:vMerge w:val="continue"/>
            <w:vAlign w:val="center"/>
          </w:tcPr>
          <w:p w14:paraId="0C2E709E">
            <w:pPr>
              <w:pStyle w:val="5"/>
              <w:spacing w:before="0" w:beforeAutospacing="0" w:after="0" w:afterAutospacing="0" w:line="560" w:lineRule="exact"/>
              <w:jc w:val="center"/>
              <w:rPr>
                <w:rFonts w:hint="eastAsia" w:cs="Helvetica"/>
                <w:color w:val="2B2E33"/>
                <w:sz w:val="28"/>
                <w:szCs w:val="28"/>
              </w:rPr>
            </w:pPr>
          </w:p>
        </w:tc>
      </w:tr>
      <w:tr w14:paraId="34DE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216" w:type="dxa"/>
            <w:vAlign w:val="center"/>
          </w:tcPr>
          <w:p w14:paraId="5D07ACD7">
            <w:pPr>
              <w:pStyle w:val="5"/>
              <w:snapToGrid w:val="0"/>
              <w:spacing w:before="0" w:beforeAutospacing="0" w:after="0" w:afterAutospacing="0" w:line="40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人口、资源与环境经济学（020106）</w:t>
            </w:r>
          </w:p>
        </w:tc>
        <w:tc>
          <w:tcPr>
            <w:tcW w:w="2498" w:type="dxa"/>
            <w:vAlign w:val="center"/>
          </w:tcPr>
          <w:p w14:paraId="0A7E931E">
            <w:pPr>
              <w:pStyle w:val="5"/>
              <w:spacing w:before="0" w:beforeAutospacing="0" w:after="0" w:afterAutospacing="0" w:line="560" w:lineRule="exact"/>
              <w:jc w:val="center"/>
              <w:rPr>
                <w:rFonts w:ascii="仿宋_GB2312" w:hAnsi="Helvetica" w:eastAsia="仿宋_GB2312" w:cs="Helvetica"/>
                <w:color w:val="2B2E33"/>
                <w:sz w:val="28"/>
                <w:szCs w:val="28"/>
              </w:rPr>
            </w:pPr>
            <w:r>
              <w:rPr>
                <w:rFonts w:hint="eastAsia" w:cs="Helvetica"/>
                <w:color w:val="2B2E33"/>
                <w:sz w:val="28"/>
                <w:szCs w:val="28"/>
              </w:rPr>
              <w:t>≥</w:t>
            </w:r>
            <w:r>
              <w:rPr>
                <w:rFonts w:hint="eastAsia" w:ascii="仿宋_GB2312" w:hAnsi="Helvetica" w:eastAsia="仿宋_GB2312" w:cs="Helvetica"/>
                <w:color w:val="2B2E33"/>
                <w:sz w:val="28"/>
                <w:szCs w:val="28"/>
              </w:rPr>
              <w:t>3</w:t>
            </w:r>
            <w:r>
              <w:rPr>
                <w:rFonts w:ascii="仿宋_GB2312" w:hAnsi="Helvetica" w:eastAsia="仿宋_GB2312" w:cs="Helvetica"/>
                <w:color w:val="2B2E33"/>
                <w:sz w:val="28"/>
                <w:szCs w:val="28"/>
              </w:rPr>
              <w:t>30</w:t>
            </w:r>
          </w:p>
        </w:tc>
        <w:tc>
          <w:tcPr>
            <w:tcW w:w="1873" w:type="dxa"/>
            <w:vAlign w:val="center"/>
          </w:tcPr>
          <w:p w14:paraId="473E2DE0">
            <w:pPr>
              <w:pStyle w:val="5"/>
              <w:spacing w:before="0" w:beforeAutospacing="0" w:after="0" w:afterAutospacing="0" w:line="560" w:lineRule="exact"/>
              <w:jc w:val="center"/>
              <w:rPr>
                <w:rFonts w:hint="eastAsia" w:cs="Helvetica"/>
                <w:color w:val="2B2E33"/>
                <w:sz w:val="28"/>
                <w:szCs w:val="28"/>
              </w:rPr>
            </w:pPr>
            <w:r>
              <w:rPr>
                <w:rFonts w:hint="eastAsia" w:cs="Helvetica"/>
                <w:color w:val="2B2E33"/>
                <w:sz w:val="28"/>
                <w:szCs w:val="28"/>
              </w:rPr>
              <w:t>≥</w:t>
            </w:r>
            <w:r>
              <w:rPr>
                <w:rFonts w:hint="eastAsia" w:ascii="仿宋_GB2312" w:hAnsi="Helvetica" w:eastAsia="仿宋_GB2312" w:cs="Helvetica"/>
                <w:color w:val="2B2E33"/>
                <w:sz w:val="28"/>
                <w:szCs w:val="28"/>
              </w:rPr>
              <w:t>3</w:t>
            </w:r>
            <w:r>
              <w:rPr>
                <w:rFonts w:ascii="仿宋_GB2312" w:hAnsi="Helvetica" w:eastAsia="仿宋_GB2312" w:cs="Helvetica"/>
                <w:color w:val="2B2E33"/>
                <w:sz w:val="28"/>
                <w:szCs w:val="28"/>
              </w:rPr>
              <w:t>40</w:t>
            </w:r>
          </w:p>
        </w:tc>
      </w:tr>
      <w:tr w14:paraId="19D6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216" w:type="dxa"/>
            <w:vAlign w:val="center"/>
          </w:tcPr>
          <w:p w14:paraId="786D1FE6">
            <w:pPr>
              <w:pStyle w:val="5"/>
              <w:snapToGrid w:val="0"/>
              <w:spacing w:before="0" w:beforeAutospacing="0" w:after="0" w:afterAutospacing="0" w:line="40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资源与环境</w:t>
            </w:r>
          </w:p>
          <w:p w14:paraId="6E1820DE">
            <w:pPr>
              <w:pStyle w:val="5"/>
              <w:snapToGrid w:val="0"/>
              <w:spacing w:before="0" w:beforeAutospacing="0" w:after="0" w:afterAutospacing="0" w:line="400" w:lineRule="exact"/>
              <w:jc w:val="center"/>
              <w:rPr>
                <w:rFonts w:ascii="仿宋_GB2312" w:hAnsi="Helvetica" w:eastAsia="仿宋_GB2312" w:cs="Helvetica"/>
                <w:color w:val="2B2E33"/>
                <w:sz w:val="28"/>
                <w:szCs w:val="28"/>
              </w:rPr>
            </w:pPr>
            <w:r>
              <w:rPr>
                <w:rFonts w:hint="eastAsia" w:ascii="仿宋_GB2312" w:hAnsi="Helvetica" w:eastAsia="仿宋_GB2312" w:cs="Helvetica"/>
                <w:color w:val="2B2E33"/>
                <w:sz w:val="28"/>
                <w:szCs w:val="28"/>
              </w:rPr>
              <w:t>（0</w:t>
            </w:r>
            <w:r>
              <w:rPr>
                <w:rFonts w:ascii="仿宋_GB2312" w:hAnsi="Helvetica" w:eastAsia="仿宋_GB2312" w:cs="Helvetica"/>
                <w:color w:val="2B2E33"/>
                <w:sz w:val="28"/>
                <w:szCs w:val="28"/>
              </w:rPr>
              <w:t>85701</w:t>
            </w:r>
            <w:r>
              <w:rPr>
                <w:rFonts w:hint="eastAsia" w:ascii="仿宋_GB2312" w:hAnsi="Helvetica" w:eastAsia="仿宋_GB2312" w:cs="Helvetica"/>
                <w:color w:val="2B2E33"/>
                <w:sz w:val="28"/>
                <w:szCs w:val="28"/>
              </w:rPr>
              <w:t>环境工程）</w:t>
            </w:r>
          </w:p>
        </w:tc>
        <w:tc>
          <w:tcPr>
            <w:tcW w:w="2498" w:type="dxa"/>
            <w:vAlign w:val="center"/>
          </w:tcPr>
          <w:p w14:paraId="2EB1C6CE">
            <w:pPr>
              <w:pStyle w:val="5"/>
              <w:spacing w:before="0" w:beforeAutospacing="0" w:after="0" w:afterAutospacing="0" w:line="560" w:lineRule="exact"/>
              <w:jc w:val="center"/>
              <w:rPr>
                <w:rFonts w:hint="eastAsia" w:cs="Helvetica"/>
                <w:color w:val="2B2E33"/>
                <w:sz w:val="28"/>
                <w:szCs w:val="28"/>
              </w:rPr>
            </w:pPr>
            <w:r>
              <w:rPr>
                <w:rFonts w:hint="eastAsia" w:cs="Helvetica"/>
                <w:color w:val="2B2E33"/>
                <w:sz w:val="28"/>
                <w:szCs w:val="28"/>
              </w:rPr>
              <w:t>≥</w:t>
            </w:r>
            <w:r>
              <w:rPr>
                <w:rFonts w:hint="eastAsia" w:ascii="仿宋_GB2312" w:hAnsi="Helvetica" w:eastAsia="仿宋_GB2312" w:cs="Helvetica"/>
                <w:color w:val="2B2E33"/>
                <w:sz w:val="28"/>
                <w:szCs w:val="28"/>
              </w:rPr>
              <w:t>2</w:t>
            </w:r>
            <w:r>
              <w:rPr>
                <w:rFonts w:ascii="仿宋_GB2312" w:hAnsi="Helvetica" w:eastAsia="仿宋_GB2312" w:cs="Helvetica"/>
                <w:color w:val="2B2E33"/>
                <w:sz w:val="28"/>
                <w:szCs w:val="28"/>
              </w:rPr>
              <w:t>70</w:t>
            </w:r>
          </w:p>
        </w:tc>
        <w:tc>
          <w:tcPr>
            <w:tcW w:w="1873" w:type="dxa"/>
            <w:vAlign w:val="center"/>
          </w:tcPr>
          <w:p w14:paraId="7524A4E0">
            <w:pPr>
              <w:pStyle w:val="5"/>
              <w:spacing w:before="0" w:beforeAutospacing="0" w:after="0" w:afterAutospacing="0" w:line="560" w:lineRule="exact"/>
              <w:jc w:val="center"/>
              <w:rPr>
                <w:rFonts w:hint="eastAsia" w:cs="Helvetica"/>
                <w:color w:val="2B2E33"/>
                <w:sz w:val="28"/>
                <w:szCs w:val="28"/>
              </w:rPr>
            </w:pPr>
            <w:r>
              <w:rPr>
                <w:rFonts w:hint="eastAsia" w:cs="Helvetica"/>
                <w:color w:val="2B2E33"/>
                <w:sz w:val="28"/>
                <w:szCs w:val="28"/>
              </w:rPr>
              <w:t>≥</w:t>
            </w:r>
            <w:r>
              <w:rPr>
                <w:rFonts w:hint="eastAsia" w:ascii="仿宋_GB2312" w:hAnsi="Helvetica" w:eastAsia="仿宋_GB2312" w:cs="Helvetica"/>
                <w:color w:val="2B2E33"/>
                <w:sz w:val="28"/>
                <w:szCs w:val="28"/>
              </w:rPr>
              <w:t>2</w:t>
            </w:r>
            <w:r>
              <w:rPr>
                <w:rFonts w:ascii="仿宋_GB2312" w:hAnsi="Helvetica" w:eastAsia="仿宋_GB2312" w:cs="Helvetica"/>
                <w:color w:val="2B2E33"/>
                <w:sz w:val="28"/>
                <w:szCs w:val="28"/>
              </w:rPr>
              <w:t>80</w:t>
            </w:r>
          </w:p>
        </w:tc>
      </w:tr>
    </w:tbl>
    <w:p w14:paraId="328DC80E">
      <w:pPr>
        <w:pStyle w:val="5"/>
        <w:shd w:val="clear" w:color="auto" w:fill="FFFFFF"/>
        <w:spacing w:before="0" w:beforeAutospacing="0" w:after="0" w:afterAutospacing="0" w:line="560" w:lineRule="exact"/>
        <w:ind w:firstLine="640" w:firstLineChars="200"/>
        <w:jc w:val="center"/>
        <w:rPr>
          <w:rFonts w:ascii="仿宋_GB2312" w:hAnsi="Helvetica" w:eastAsia="仿宋_GB2312" w:cs="Helvetica"/>
          <w:color w:val="2B2E33"/>
          <w:sz w:val="32"/>
          <w:szCs w:val="32"/>
        </w:rPr>
      </w:pPr>
    </w:p>
    <w:p w14:paraId="0440905D">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四、复试方式</w:t>
      </w:r>
    </w:p>
    <w:p w14:paraId="3BEEFA01">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复试采取差额方式，比例为1.2:1（合格生源比例不足时，按实际合格生源数组织复试）。</w:t>
      </w:r>
    </w:p>
    <w:p w14:paraId="59F9D75F">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复试采用线下面试的方式进行。复试现场全程视频录像监督。</w:t>
      </w:r>
    </w:p>
    <w:p w14:paraId="60C83DA3">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五、复试内容</w:t>
      </w:r>
    </w:p>
    <w:p w14:paraId="450ECF7D">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复试内容包括专业综合能力考核和英语能力考核。</w:t>
      </w:r>
    </w:p>
    <w:p w14:paraId="160CB17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1.专业综合能力考核：包括专业基础知识和综合能力测试，考察考生对专业理论知识与应用技能掌握程度，利用所学理论发现、分析和解决问题的能力，对本专业领域热点动态的了解和未来发展潜力，以及考生的创新精神和创新能力。</w:t>
      </w:r>
    </w:p>
    <w:p w14:paraId="7CF18628">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2</w:t>
      </w:r>
      <w:r>
        <w:rPr>
          <w:rFonts w:ascii="仿宋_GB2312" w:hAnsi="Helvetica" w:eastAsia="仿宋_GB2312" w:cs="Helvetica"/>
          <w:color w:val="2B2E33"/>
          <w:sz w:val="32"/>
          <w:szCs w:val="32"/>
        </w:rPr>
        <w:t>.</w:t>
      </w:r>
      <w:r>
        <w:rPr>
          <w:rFonts w:hint="eastAsia" w:ascii="仿宋_GB2312" w:hAnsi="Helvetica" w:eastAsia="仿宋_GB2312" w:cs="Helvetica"/>
          <w:color w:val="2B2E33"/>
          <w:sz w:val="32"/>
          <w:szCs w:val="32"/>
        </w:rPr>
        <w:t>英语能力考核：考察英语阅读和听说能力。</w:t>
      </w:r>
    </w:p>
    <w:p w14:paraId="58B4949B">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六、成绩评定</w:t>
      </w:r>
    </w:p>
    <w:p w14:paraId="22B5E3B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复试成绩中，专业综合能力满分为</w:t>
      </w:r>
      <w:r>
        <w:rPr>
          <w:rFonts w:ascii="仿宋_GB2312" w:hAnsi="Helvetica" w:eastAsia="仿宋_GB2312" w:cs="Helvetica"/>
          <w:color w:val="2B2E33"/>
          <w:sz w:val="32"/>
          <w:szCs w:val="32"/>
        </w:rPr>
        <w:t>100</w:t>
      </w:r>
      <w:r>
        <w:rPr>
          <w:rFonts w:hint="eastAsia" w:ascii="仿宋_GB2312" w:hAnsi="Helvetica" w:eastAsia="仿宋_GB2312" w:cs="Helvetica"/>
          <w:color w:val="2B2E33"/>
          <w:sz w:val="32"/>
          <w:szCs w:val="32"/>
        </w:rPr>
        <w:t>分，英语能力满分为</w:t>
      </w:r>
      <w:r>
        <w:rPr>
          <w:rFonts w:ascii="仿宋_GB2312" w:hAnsi="Helvetica" w:eastAsia="仿宋_GB2312" w:cs="Helvetica"/>
          <w:color w:val="2B2E33"/>
          <w:sz w:val="32"/>
          <w:szCs w:val="32"/>
        </w:rPr>
        <w:t>100</w:t>
      </w:r>
      <w:r>
        <w:rPr>
          <w:rFonts w:hint="eastAsia" w:ascii="仿宋_GB2312" w:hAnsi="Helvetica" w:eastAsia="仿宋_GB2312" w:cs="Helvetica"/>
          <w:color w:val="2B2E33"/>
          <w:sz w:val="32"/>
          <w:szCs w:val="32"/>
        </w:rPr>
        <w:t>分，考生复试成绩由复试专家组现场评定、汇总。</w:t>
      </w:r>
    </w:p>
    <w:p w14:paraId="36ECA79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复试单科成绩低于60分者，认为复试不合格。不合格者不予以录取。</w:t>
      </w:r>
    </w:p>
    <w:p w14:paraId="2FE503E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通过复试者，考生总成绩由初试成绩和复试成绩按6:4的权重赋分求和，按分数高低择优录取。拟录取名单以中国环科院研究生院网站通知公告栏发布为准。</w:t>
      </w:r>
    </w:p>
    <w:p w14:paraId="7CB3C3E2">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七、调剂工作</w:t>
      </w:r>
    </w:p>
    <w:p w14:paraId="176EAC77">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中国环科院调剂的报名、复试通知、待录取通知均通过“全国硕士生招生调剂服务系统”（</w:t>
      </w:r>
      <w:r>
        <w:rPr>
          <w:rFonts w:ascii="仿宋_GB2312" w:hAnsi="Helvetica" w:eastAsia="仿宋_GB2312" w:cs="Helvetica"/>
          <w:color w:val="2B2E33"/>
          <w:sz w:val="32"/>
          <w:szCs w:val="32"/>
        </w:rPr>
        <w:t>http</w:t>
      </w:r>
      <w:r>
        <w:rPr>
          <w:rFonts w:hint="eastAsia" w:ascii="仿宋_GB2312" w:hAnsi="Helvetica" w:eastAsia="仿宋_GB2312" w:cs="Helvetica"/>
          <w:color w:val="2B2E33"/>
          <w:sz w:val="32"/>
          <w:szCs w:val="32"/>
          <w:lang w:val="en-US" w:eastAsia="zh-CN"/>
        </w:rPr>
        <w:t>s</w:t>
      </w:r>
      <w:r>
        <w:rPr>
          <w:rFonts w:ascii="仿宋_GB2312" w:hAnsi="Helvetica" w:eastAsia="仿宋_GB2312" w:cs="Helvetica"/>
          <w:color w:val="2B2E33"/>
          <w:sz w:val="32"/>
          <w:szCs w:val="32"/>
        </w:rPr>
        <w:t>://yz.chsi.com.cn/yztj/，以下简称调剂服务系统）进行。</w:t>
      </w:r>
    </w:p>
    <w:p w14:paraId="0BDB1259">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调剂考生需符合教育部调剂政策要求，原则上调入专业应与第一志愿报考专业相同或相近，初试科目与调入专业初试科目相同或相近，初试全国统一命题科目应与调入专业全国统一命题科目相同（考生初试统考科目涵盖调入专业所有统考科目的，视为相同）。</w:t>
      </w:r>
      <w:bookmarkStart w:id="1" w:name="_GoBack"/>
    </w:p>
    <w:p w14:paraId="62524A0D">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调剂服务系统中调剂意向采集模块</w:t>
      </w:r>
      <w:bookmarkEnd w:id="1"/>
      <w:r>
        <w:rPr>
          <w:rFonts w:hint="eastAsia" w:ascii="仿宋_GB2312" w:hAnsi="Helvetica" w:eastAsia="仿宋_GB2312" w:cs="Helvetica"/>
          <w:color w:val="2B2E33"/>
          <w:sz w:val="32"/>
          <w:szCs w:val="32"/>
        </w:rPr>
        <w:t>将于</w:t>
      </w:r>
      <w:r>
        <w:rPr>
          <w:rFonts w:ascii="仿宋_GB2312" w:hAnsi="Helvetica" w:eastAsia="仿宋_GB2312" w:cs="Helvetica"/>
          <w:color w:val="2B2E33"/>
          <w:sz w:val="32"/>
          <w:szCs w:val="32"/>
        </w:rPr>
        <w:t>3月28日开通，有调剂意愿的考生可查询、填报意向信息；调剂服务系统调剂模块将于4月8日正式开通，调剂工作正式开启</w:t>
      </w:r>
      <w:r>
        <w:rPr>
          <w:rFonts w:hint="eastAsia" w:ascii="仿宋_GB2312" w:hAnsi="Helvetica" w:eastAsia="仿宋_GB2312" w:cs="Helvetica"/>
          <w:color w:val="2B2E33"/>
          <w:sz w:val="32"/>
          <w:szCs w:val="32"/>
        </w:rPr>
        <w:t>。考生可登录调剂服务系统及时填报相关志愿信息，我院将依据“择优录取”原则，向符合复试要求的调剂考生发送复试通知，接受复试通知的考生须按时参加复试，复试结束后，拟录取的考生须及时登录调剂系统接收并确认待录取通知。</w:t>
      </w:r>
    </w:p>
    <w:p w14:paraId="7FD26391">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八、体检工作</w:t>
      </w:r>
    </w:p>
    <w:p w14:paraId="26009FD9">
      <w:pPr>
        <w:pStyle w:val="5"/>
        <w:shd w:val="clear" w:color="auto" w:fill="FFFFFF"/>
        <w:spacing w:before="0" w:beforeAutospacing="0" w:after="0" w:afterAutospacing="0" w:line="560" w:lineRule="exact"/>
        <w:ind w:firstLine="640" w:firstLineChars="200"/>
        <w:jc w:val="both"/>
        <w:rPr>
          <w:rFonts w:hint="eastAsia" w:ascii="仿宋_GB2312" w:hAnsi="Helvetica" w:eastAsia="仿宋_GB2312" w:cs="Helvetica"/>
          <w:color w:val="2B2E33"/>
          <w:sz w:val="32"/>
          <w:szCs w:val="32"/>
        </w:rPr>
      </w:pPr>
      <w:r>
        <w:rPr>
          <w:rFonts w:hint="eastAsia" w:ascii="仿宋_GB2312" w:hAnsi="Helvetica" w:eastAsia="仿宋_GB2312" w:cs="Helvetica"/>
          <w:color w:val="2B2E33"/>
          <w:sz w:val="32"/>
          <w:szCs w:val="32"/>
        </w:rPr>
        <w:t>考生体检工作在考生拟录取后进行，拟录取的考生自行就近前往当地二级甲等及以上等级医院进行体检，2周内通过顺丰或EMS邮寄方式提交纸质体检报告，体检报告须有考生本人近期免冠彩色照片，照片和体检表上加盖体检医院骑缝章。</w:t>
      </w:r>
    </w:p>
    <w:p w14:paraId="27C937DA">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九、保密规定</w:t>
      </w:r>
    </w:p>
    <w:p w14:paraId="6D707B9C">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所有参加复试的工作人员、导师和学生均须签订保密协议。工作人员和导师须承诺对复试安排、复试过程、复试内容等做到严格保密；不得通过任何方式传播任何与复试相关的信息，如有违反者，按相关管理规定追究责任。</w:t>
      </w:r>
    </w:p>
    <w:p w14:paraId="0F431293">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参加复试的学生需承诺（签署承诺书）对复试内容和复试过程严格保密，不得泄露复试试题内容和复试导师相关信息，不得进行复试现场视频和音频录制，不得通过任何方式传播任何与复试相关的信息；如有违反者，视情节轻重予以处理，情节严重者将取消录取资格。</w:t>
      </w:r>
    </w:p>
    <w:p w14:paraId="1B2C5178">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十、注意事项</w:t>
      </w:r>
    </w:p>
    <w:p w14:paraId="0E3E27B0">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1.复试准备。参加复试的第一志愿考生需在3月16日1</w:t>
      </w:r>
      <w:r>
        <w:rPr>
          <w:rFonts w:ascii="仿宋_GB2312" w:hAnsi="Helvetica" w:eastAsia="仿宋_GB2312" w:cs="Helvetica"/>
          <w:color w:val="2B2E33"/>
          <w:sz w:val="32"/>
          <w:szCs w:val="32"/>
        </w:rPr>
        <w:t>2</w:t>
      </w:r>
      <w:r>
        <w:rPr>
          <w:rFonts w:hint="eastAsia" w:ascii="仿宋_GB2312" w:hAnsi="Helvetica" w:eastAsia="仿宋_GB2312" w:cs="Helvetica"/>
          <w:color w:val="2B2E33"/>
          <w:sz w:val="32"/>
          <w:szCs w:val="32"/>
        </w:rPr>
        <w:t>:</w:t>
      </w:r>
      <w:r>
        <w:rPr>
          <w:rFonts w:ascii="仿宋_GB2312" w:hAnsi="Helvetica" w:eastAsia="仿宋_GB2312" w:cs="Helvetica"/>
          <w:color w:val="2B2E33"/>
          <w:sz w:val="32"/>
          <w:szCs w:val="32"/>
        </w:rPr>
        <w:t>00</w:t>
      </w:r>
      <w:r>
        <w:rPr>
          <w:rFonts w:hint="eastAsia" w:ascii="仿宋_GB2312" w:hAnsi="Helvetica" w:eastAsia="仿宋_GB2312" w:cs="Helvetica"/>
          <w:color w:val="2B2E33"/>
          <w:sz w:val="32"/>
          <w:szCs w:val="32"/>
        </w:rPr>
        <w:t>前，通过电子邮件的形式，发送个人简历（附件1）和本科成绩单到指定邮箱（yjsxx@</w:t>
      </w:r>
      <w:r>
        <w:rPr>
          <w:rFonts w:ascii="仿宋_GB2312" w:hAnsi="Helvetica" w:eastAsia="仿宋_GB2312" w:cs="Helvetica"/>
          <w:color w:val="2B2E33"/>
          <w:sz w:val="32"/>
          <w:szCs w:val="32"/>
        </w:rPr>
        <w:t>craes.org.cn</w:t>
      </w:r>
      <w:r>
        <w:rPr>
          <w:rFonts w:hint="eastAsia" w:ascii="仿宋_GB2312" w:hAnsi="Helvetica" w:eastAsia="仿宋_GB2312" w:cs="Helvetica"/>
          <w:color w:val="2B2E33"/>
          <w:sz w:val="32"/>
          <w:szCs w:val="32"/>
        </w:rPr>
        <w:t>）。邮件命名规则：一志愿考生+报考专业名称+考生姓名。请各位考生及时查收邮件，保持电话畅通。</w:t>
      </w:r>
    </w:p>
    <w:p w14:paraId="01853C2B">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参加复试的第一志愿考生，由工作人员通知加入复试</w:t>
      </w:r>
      <w:r>
        <w:rPr>
          <w:rFonts w:hint="eastAsia" w:ascii="仿宋_GB2312" w:hAnsi="Helvetica" w:eastAsia="仿宋_GB2312" w:cs="Helvetica"/>
          <w:color w:val="2B2E33"/>
          <w:sz w:val="32"/>
          <w:szCs w:val="32"/>
          <w:lang w:val="en-US" w:eastAsia="zh-CN"/>
        </w:rPr>
        <w:t>QQ</w:t>
      </w:r>
      <w:r>
        <w:rPr>
          <w:rFonts w:hint="eastAsia" w:ascii="仿宋_GB2312" w:hAnsi="Helvetica" w:eastAsia="仿宋_GB2312" w:cs="Helvetica"/>
          <w:color w:val="2B2E33"/>
          <w:sz w:val="32"/>
          <w:szCs w:val="32"/>
        </w:rPr>
        <w:t>群，进群后修改个人名称，命名规则为：专业名称+个人姓名。</w:t>
      </w:r>
    </w:p>
    <w:p w14:paraId="1D5C6762">
      <w:pPr>
        <w:pStyle w:val="5"/>
        <w:shd w:val="clear" w:color="auto" w:fill="FFFFFF"/>
        <w:spacing w:before="0" w:beforeAutospacing="0" w:after="0" w:afterAutospacing="0" w:line="560" w:lineRule="exact"/>
        <w:ind w:firstLine="640" w:firstLineChars="200"/>
        <w:jc w:val="both"/>
        <w:rPr>
          <w:rFonts w:ascii="仿宋_GB2312" w:hAnsi="Helvetica" w:eastAsia="仿宋_GB2312" w:cs="Helvetica"/>
          <w:sz w:val="32"/>
          <w:szCs w:val="32"/>
        </w:rPr>
      </w:pPr>
      <w:r>
        <w:rPr>
          <w:rFonts w:hint="eastAsia" w:ascii="仿宋_GB2312" w:hAnsi="Helvetica" w:eastAsia="仿宋_GB2312" w:cs="Helvetica"/>
          <w:color w:val="2B2E33"/>
          <w:sz w:val="32"/>
          <w:szCs w:val="32"/>
        </w:rPr>
        <w:t>2.复试工作拟分批次进行。一志愿考生拟于3月18日进行复试，调剂考生拟于4月10日起进行复试。具体时间和相关安排另行通知。请密切关注中国环境环科院研究生院网站通知公告复试相关工作安排。</w:t>
      </w:r>
      <w:r>
        <w:rPr>
          <w:rFonts w:hint="eastAsia" w:ascii="仿宋_GB2312" w:hAnsi="Helvetica" w:eastAsia="仿宋_GB2312" w:cs="Helvetica"/>
          <w:sz w:val="32"/>
          <w:szCs w:val="32"/>
        </w:rPr>
        <w:t>复试当天报到时请携带政审表（附件2），并交给现场工作人员。政审不通过者，不予录取。</w:t>
      </w:r>
    </w:p>
    <w:p w14:paraId="7CF6E933">
      <w:pPr>
        <w:pStyle w:val="5"/>
        <w:shd w:val="clear" w:color="auto" w:fill="FFFFFF"/>
        <w:spacing w:before="0" w:beforeAutospacing="0" w:after="0" w:afterAutospacing="0" w:line="560" w:lineRule="exact"/>
        <w:ind w:firstLine="640" w:firstLineChars="200"/>
        <w:rPr>
          <w:rFonts w:hint="eastAsia" w:ascii="黑体" w:hAnsi="黑体" w:eastAsia="黑体" w:cs="Helvetica"/>
          <w:color w:val="2B2E33"/>
          <w:sz w:val="32"/>
          <w:szCs w:val="32"/>
        </w:rPr>
      </w:pPr>
      <w:r>
        <w:rPr>
          <w:rFonts w:hint="eastAsia" w:ascii="黑体" w:hAnsi="黑体" w:eastAsia="黑体" w:cs="Helvetica"/>
          <w:color w:val="2B2E33"/>
          <w:sz w:val="32"/>
          <w:szCs w:val="32"/>
        </w:rPr>
        <w:t>十、复试监督</w:t>
      </w:r>
    </w:p>
    <w:p w14:paraId="275D3820">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硕士研究生招生全过程接受北京市教育考试院、纪检监察相关部门和社会公众监督。复试结束后，将对拟录取名单在中国环科院研究生院网站进行不少于</w:t>
      </w:r>
      <w:r>
        <w:rPr>
          <w:rFonts w:ascii="仿宋_GB2312" w:hAnsi="Helvetica" w:eastAsia="仿宋_GB2312" w:cs="Helvetica"/>
          <w:color w:val="2B2E33"/>
          <w:sz w:val="32"/>
          <w:szCs w:val="32"/>
        </w:rPr>
        <w:t>7</w:t>
      </w:r>
      <w:r>
        <w:rPr>
          <w:rFonts w:hint="eastAsia" w:ascii="仿宋_GB2312" w:hAnsi="Helvetica" w:eastAsia="仿宋_GB2312" w:cs="Helvetica"/>
          <w:color w:val="2B2E33"/>
          <w:sz w:val="32"/>
          <w:szCs w:val="32"/>
        </w:rPr>
        <w:t>日的公示。公示无异议的考生，予以录取。</w:t>
      </w:r>
    </w:p>
    <w:p w14:paraId="3E3EDAFF">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2B2E33"/>
          <w:sz w:val="32"/>
          <w:szCs w:val="32"/>
        </w:rPr>
        <w:t>对复试录取信息和结果有异议者，可提出申诉。由复试工作小组调查情况后酌情予以处理。</w:t>
      </w:r>
    </w:p>
    <w:p w14:paraId="787C156A">
      <w:pPr>
        <w:pStyle w:val="5"/>
        <w:shd w:val="clear" w:color="auto" w:fill="FFFFFF"/>
        <w:spacing w:before="0" w:beforeAutospacing="0" w:after="0" w:afterAutospacing="0" w:line="560" w:lineRule="exact"/>
        <w:ind w:firstLine="640" w:firstLineChars="200"/>
        <w:rPr>
          <w:rFonts w:hint="eastAsia" w:ascii="仿宋_GB2312" w:hAnsi="Helvetica" w:eastAsia="仿宋_GB2312" w:cs="Helvetica"/>
          <w:color w:val="2B2E33"/>
          <w:sz w:val="32"/>
          <w:szCs w:val="32"/>
          <w:lang w:val="en-US" w:eastAsia="zh-CN"/>
        </w:rPr>
      </w:pPr>
      <w:r>
        <w:rPr>
          <w:rFonts w:hint="eastAsia" w:ascii="仿宋_GB2312" w:hAnsi="Helvetica" w:eastAsia="仿宋_GB2312" w:cs="Helvetica"/>
          <w:color w:val="2B2E33"/>
          <w:sz w:val="32"/>
          <w:szCs w:val="32"/>
        </w:rPr>
        <w:t>咨询电话：</w:t>
      </w:r>
      <w:r>
        <w:rPr>
          <w:rFonts w:hint="eastAsia" w:ascii="仿宋_GB2312" w:hAnsi="Helvetica" w:eastAsia="仿宋_GB2312" w:cs="Helvetica"/>
          <w:color w:val="2B2E33"/>
          <w:sz w:val="32"/>
          <w:szCs w:val="32"/>
          <w:lang w:val="en-US" w:eastAsia="zh-CN"/>
        </w:rPr>
        <w:t>010-</w:t>
      </w:r>
      <w:r>
        <w:rPr>
          <w:rFonts w:hint="eastAsia" w:ascii="仿宋_GB2312" w:hAnsi="Helvetica" w:eastAsia="仿宋_GB2312" w:cs="Helvetica"/>
          <w:color w:val="2B2E33"/>
          <w:sz w:val="32"/>
          <w:szCs w:val="32"/>
        </w:rPr>
        <w:t>8</w:t>
      </w:r>
      <w:r>
        <w:rPr>
          <w:rFonts w:ascii="仿宋_GB2312" w:hAnsi="Helvetica" w:eastAsia="仿宋_GB2312" w:cs="Helvetica"/>
          <w:color w:val="2B2E33"/>
          <w:sz w:val="32"/>
          <w:szCs w:val="32"/>
        </w:rPr>
        <w:t>4911716</w:t>
      </w:r>
      <w:r>
        <w:rPr>
          <w:rFonts w:hint="eastAsia" w:ascii="仿宋_GB2312" w:hAnsi="Helvetica" w:eastAsia="仿宋_GB2312" w:cs="Helvetica"/>
          <w:color w:val="2B2E33"/>
          <w:sz w:val="32"/>
          <w:szCs w:val="32"/>
        </w:rPr>
        <w:t>，</w:t>
      </w:r>
      <w:r>
        <w:rPr>
          <w:rFonts w:hint="eastAsia" w:ascii="仿宋_GB2312" w:hAnsi="Helvetica" w:eastAsia="仿宋_GB2312" w:cs="Helvetica"/>
          <w:color w:val="2B2E33"/>
          <w:sz w:val="32"/>
          <w:szCs w:val="32"/>
          <w:lang w:val="en-US" w:eastAsia="zh-CN"/>
        </w:rPr>
        <w:t>010-84911700</w:t>
      </w:r>
    </w:p>
    <w:p w14:paraId="7EAD2499">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纪检监督电话：</w:t>
      </w:r>
      <w:bookmarkStart w:id="0" w:name="OLE_LINK1"/>
      <w:r>
        <w:rPr>
          <w:rFonts w:hint="eastAsia" w:ascii="仿宋_GB2312" w:hAnsi="Helvetica" w:eastAsia="仿宋_GB2312" w:cs="Helvetica"/>
          <w:color w:val="2B2E33"/>
          <w:sz w:val="32"/>
          <w:szCs w:val="32"/>
        </w:rPr>
        <w:t>010-</w:t>
      </w:r>
      <w:r>
        <w:rPr>
          <w:rFonts w:ascii="仿宋_GB2312" w:hAnsi="Helvetica" w:eastAsia="仿宋_GB2312" w:cs="Helvetica"/>
          <w:color w:val="2B2E33"/>
          <w:sz w:val="32"/>
          <w:szCs w:val="32"/>
        </w:rPr>
        <w:t>84913949</w:t>
      </w:r>
    </w:p>
    <w:bookmarkEnd w:id="0"/>
    <w:p w14:paraId="536209A7">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北京教育考试院监督电话：010-82837456</w:t>
      </w:r>
    </w:p>
    <w:p w14:paraId="7319201C">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通讯地址：北京市朝阳区安外大羊坊8号中国环境科学研究院研究生院</w:t>
      </w:r>
    </w:p>
    <w:p w14:paraId="4A5C40A7">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p>
    <w:p w14:paraId="58D8AE2B">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p>
    <w:p w14:paraId="3025E7E3">
      <w:pPr>
        <w:pStyle w:val="5"/>
        <w:shd w:val="clear" w:color="auto" w:fill="FFFFFF"/>
        <w:spacing w:before="0" w:beforeAutospacing="0" w:after="0" w:afterAutospacing="0" w:line="560" w:lineRule="exact"/>
        <w:ind w:firstLine="640" w:firstLineChars="200"/>
        <w:rPr>
          <w:rFonts w:ascii="仿宋_GB2312" w:hAnsi="Helvetica" w:eastAsia="仿宋_GB2312" w:cs="Helvetica"/>
          <w:color w:val="2B2E33"/>
          <w:sz w:val="32"/>
          <w:szCs w:val="32"/>
        </w:rPr>
      </w:pPr>
    </w:p>
    <w:p w14:paraId="25F1C736">
      <w:pPr>
        <w:pStyle w:val="5"/>
        <w:shd w:val="clear" w:color="auto" w:fill="FFFFFF"/>
        <w:spacing w:before="0" w:beforeAutospacing="0" w:after="0" w:afterAutospacing="0" w:line="560" w:lineRule="exact"/>
        <w:ind w:firstLine="640" w:firstLineChars="200"/>
        <w:jc w:val="right"/>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rPr>
        <w:t>中国环境科学研究院研究生院</w:t>
      </w:r>
    </w:p>
    <w:p w14:paraId="477431F7">
      <w:pPr>
        <w:pStyle w:val="5"/>
        <w:shd w:val="clear" w:color="auto" w:fill="FFFFFF"/>
        <w:spacing w:before="0" w:beforeAutospacing="0" w:after="0" w:afterAutospacing="0" w:line="560" w:lineRule="exact"/>
        <w:ind w:firstLine="640" w:firstLineChars="200"/>
        <w:jc w:val="center"/>
        <w:rPr>
          <w:rFonts w:ascii="仿宋_GB2312" w:hAnsi="Helvetica" w:eastAsia="仿宋_GB2312" w:cs="Helvetica"/>
          <w:color w:val="2B2E33"/>
          <w:sz w:val="32"/>
          <w:szCs w:val="32"/>
        </w:rPr>
      </w:pPr>
      <w:r>
        <w:rPr>
          <w:rFonts w:hint="eastAsia" w:ascii="仿宋_GB2312" w:hAnsi="Helvetica" w:eastAsia="仿宋_GB2312" w:cs="Helvetica"/>
          <w:color w:val="2B2E33"/>
          <w:sz w:val="32"/>
          <w:szCs w:val="32"/>
          <w:lang w:val="en-US" w:eastAsia="zh-CN"/>
        </w:rPr>
        <w:t xml:space="preserve">                         </w:t>
      </w:r>
      <w:r>
        <w:rPr>
          <w:rFonts w:hint="eastAsia" w:ascii="仿宋_GB2312" w:hAnsi="Helvetica" w:eastAsia="仿宋_GB2312" w:cs="Helvetica"/>
          <w:color w:val="2B2E33"/>
          <w:sz w:val="32"/>
          <w:szCs w:val="32"/>
        </w:rPr>
        <w:t>2</w:t>
      </w:r>
      <w:r>
        <w:rPr>
          <w:rFonts w:ascii="仿宋_GB2312" w:hAnsi="Helvetica" w:eastAsia="仿宋_GB2312" w:cs="Helvetica"/>
          <w:color w:val="2B2E33"/>
          <w:sz w:val="32"/>
          <w:szCs w:val="32"/>
        </w:rPr>
        <w:t>024</w:t>
      </w:r>
      <w:r>
        <w:rPr>
          <w:rFonts w:hint="eastAsia" w:ascii="仿宋_GB2312" w:hAnsi="仿宋_GB2312" w:eastAsia="仿宋_GB2312" w:cs="仿宋_GB2312"/>
          <w:color w:val="2B2E33"/>
          <w:sz w:val="32"/>
          <w:szCs w:val="32"/>
        </w:rPr>
        <w:t>年3月</w:t>
      </w:r>
      <w:r>
        <w:rPr>
          <w:rFonts w:hint="eastAsia" w:ascii="仿宋_GB2312" w:hAnsi="仿宋_GB2312" w:eastAsia="仿宋_GB2312" w:cs="仿宋_GB2312"/>
          <w:color w:val="2B2E33"/>
          <w:sz w:val="32"/>
          <w:szCs w:val="32"/>
          <w:lang w:val="en-US" w:eastAsia="zh-CN"/>
        </w:rPr>
        <w:t>12</w:t>
      </w:r>
      <w:r>
        <w:rPr>
          <w:rFonts w:hint="eastAsia" w:ascii="仿宋_GB2312" w:hAnsi="仿宋_GB2312" w:eastAsia="仿宋_GB2312" w:cs="仿宋_GB2312"/>
          <w:color w:val="2B2E33"/>
          <w:sz w:val="32"/>
          <w:szCs w:val="32"/>
        </w:rPr>
        <w:t>日</w:t>
      </w:r>
    </w:p>
    <w:p w14:paraId="13845C7A">
      <w:pPr>
        <w:rPr>
          <w:rFonts w:hint="eastAsia" w:ascii="仿宋_GB2312" w:eastAsia="仿宋_GB2312"/>
          <w:sz w:val="32"/>
          <w:szCs w:val="32"/>
          <w:lang w:val="en-US" w:eastAsia="zh-CN"/>
        </w:rPr>
      </w:pPr>
    </w:p>
    <w:sectPr>
      <w:footerReference r:id="rId3" w:type="default"/>
      <w:pgSz w:w="11906" w:h="16838"/>
      <w:pgMar w:top="1560" w:right="1588" w:bottom="156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7306342"/>
      <w:docPartObj>
        <w:docPartGallery w:val="autotext"/>
      </w:docPartObj>
    </w:sdtPr>
    <w:sdtEndPr>
      <w:rPr>
        <w:rFonts w:hint="eastAsia" w:ascii="仿宋_GB2312" w:eastAsia="仿宋_GB2312"/>
        <w:sz w:val="24"/>
        <w:szCs w:val="24"/>
      </w:rPr>
    </w:sdtEndPr>
    <w:sdtContent>
      <w:p w14:paraId="6B3D15AC">
        <w:pPr>
          <w:pStyle w:val="3"/>
          <w:jc w:val="center"/>
          <w:rPr>
            <w:rFonts w:hint="eastAsia"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2</w:t>
        </w:r>
        <w:r>
          <w:rPr>
            <w:rFonts w:hint="eastAsia" w:ascii="仿宋_GB2312" w:eastAsia="仿宋_GB2312"/>
            <w:sz w:val="24"/>
            <w:szCs w:val="24"/>
          </w:rPr>
          <w:fldChar w:fldCharType="end"/>
        </w:r>
      </w:p>
    </w:sdtContent>
  </w:sdt>
  <w:p w14:paraId="3DEB1835">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D2"/>
    <w:rsid w:val="0001605E"/>
    <w:rsid w:val="000E585D"/>
    <w:rsid w:val="001166E5"/>
    <w:rsid w:val="002319FE"/>
    <w:rsid w:val="00273240"/>
    <w:rsid w:val="002E7903"/>
    <w:rsid w:val="003016C3"/>
    <w:rsid w:val="00341295"/>
    <w:rsid w:val="003503CF"/>
    <w:rsid w:val="003A16D9"/>
    <w:rsid w:val="003C5A5D"/>
    <w:rsid w:val="003D3D72"/>
    <w:rsid w:val="00426F59"/>
    <w:rsid w:val="0043784D"/>
    <w:rsid w:val="00443C6E"/>
    <w:rsid w:val="004741E9"/>
    <w:rsid w:val="005076A5"/>
    <w:rsid w:val="00566B8A"/>
    <w:rsid w:val="005715C7"/>
    <w:rsid w:val="005E6813"/>
    <w:rsid w:val="006770C9"/>
    <w:rsid w:val="00686DD4"/>
    <w:rsid w:val="006967F0"/>
    <w:rsid w:val="006A0CA5"/>
    <w:rsid w:val="00773FC5"/>
    <w:rsid w:val="007841E0"/>
    <w:rsid w:val="007C5AF2"/>
    <w:rsid w:val="008159F4"/>
    <w:rsid w:val="00856F22"/>
    <w:rsid w:val="008862A2"/>
    <w:rsid w:val="008B3597"/>
    <w:rsid w:val="008B5BEC"/>
    <w:rsid w:val="009158D1"/>
    <w:rsid w:val="00942000"/>
    <w:rsid w:val="00957824"/>
    <w:rsid w:val="00AE0697"/>
    <w:rsid w:val="00AE0D43"/>
    <w:rsid w:val="00B21CFE"/>
    <w:rsid w:val="00B7578A"/>
    <w:rsid w:val="00BD02BA"/>
    <w:rsid w:val="00C0353E"/>
    <w:rsid w:val="00C20BBE"/>
    <w:rsid w:val="00C76ED4"/>
    <w:rsid w:val="00CA4200"/>
    <w:rsid w:val="00D15D48"/>
    <w:rsid w:val="00D304DF"/>
    <w:rsid w:val="00D411CE"/>
    <w:rsid w:val="00D4373F"/>
    <w:rsid w:val="00D833AF"/>
    <w:rsid w:val="00DB0546"/>
    <w:rsid w:val="00E156DC"/>
    <w:rsid w:val="00E21ED2"/>
    <w:rsid w:val="00E246CD"/>
    <w:rsid w:val="00E33AA0"/>
    <w:rsid w:val="00E34866"/>
    <w:rsid w:val="00E52755"/>
    <w:rsid w:val="00F22473"/>
    <w:rsid w:val="00F24224"/>
    <w:rsid w:val="00F34A91"/>
    <w:rsid w:val="00F92396"/>
    <w:rsid w:val="00FA3EB5"/>
    <w:rsid w:val="00FA5A10"/>
    <w:rsid w:val="00FC46EB"/>
    <w:rsid w:val="05692CF1"/>
    <w:rsid w:val="05E441D4"/>
    <w:rsid w:val="1B6301DA"/>
    <w:rsid w:val="21A25FFE"/>
    <w:rsid w:val="23201A5F"/>
    <w:rsid w:val="377C48D6"/>
    <w:rsid w:val="4C760003"/>
    <w:rsid w:val="600B7AEF"/>
    <w:rsid w:val="67E5400B"/>
    <w:rsid w:val="780901F2"/>
    <w:rsid w:val="78A0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2"/>
    <w:qFormat/>
    <w:uiPriority w:val="9"/>
    <w:rPr>
      <w:rFonts w:ascii="宋体" w:hAnsi="宋体" w:eastAsia="宋体" w:cs="宋体"/>
      <w:b/>
      <w:bCs/>
      <w:kern w:val="0"/>
      <w:sz w:val="36"/>
      <w:szCs w:val="36"/>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AAD55-42F6-4FF4-A6D1-8FDC626F920B}">
  <ds:schemaRefs/>
</ds:datastoreItem>
</file>

<file path=docProps/app.xml><?xml version="1.0" encoding="utf-8"?>
<Properties xmlns="http://schemas.openxmlformats.org/officeDocument/2006/extended-properties" xmlns:vt="http://schemas.openxmlformats.org/officeDocument/2006/docPropsVTypes">
  <Template>Normal</Template>
  <Pages>5</Pages>
  <Words>2038</Words>
  <Characters>2210</Characters>
  <Lines>22</Lines>
  <Paragraphs>6</Paragraphs>
  <TotalTime>263</TotalTime>
  <ScaleCrop>false</ScaleCrop>
  <LinksUpToDate>false</LinksUpToDate>
  <CharactersWithSpaces>2235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2025-03-03T09:47:00Z</dcterms:created>
  <dc:creator>路超君</dc:creator>
  <cp:lastModifiedBy>代代</cp:lastModifiedBy>
  <dcterms:modified xsi:type="dcterms:W3CDTF">2025-03-27T09:08:06Z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eyJoZGlkIjoiMmMyNTYwYzY3ZmI0ZDk2OTljMjgxYWZmZThiZjU2NGYiLCJ1c2VySWQiOiIxMzAyMDI0MTgzIn0=</vt:lpwstr>
  </property>
  <property fmtid="{D5CDD505-2E9C-101B-9397-08002B2CF9AE}" pid="3" name="KSOProductBuildVer">
    <vt:lpwstr>2052-12.1.0.20305</vt:lpwstr>
  </property>
  <property fmtid="{D5CDD505-2E9C-101B-9397-08002B2CF9AE}" pid="4" name="ICV">
    <vt:lpwstr>AADC38B428E44F49A7DE4701B16CBD34_12</vt:lpwstr>
  </property>
</Properties>
</file>